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B042" w14:textId="72FA3457" w:rsidR="00E44C9B" w:rsidRPr="0084714D" w:rsidRDefault="00E44C9B" w:rsidP="00E44C9B">
      <w:pPr>
        <w:autoSpaceDE w:val="0"/>
        <w:autoSpaceDN w:val="0"/>
        <w:adjustRightInd w:val="0"/>
        <w:spacing w:after="0" w:line="240" w:lineRule="auto"/>
        <w:jc w:val="center"/>
        <w:rPr>
          <w:rFonts w:ascii="CIDFont+F2" w:hAnsi="CIDFont+F2" w:cs="CIDFont+F2"/>
          <w:color w:val="1F3864" w:themeColor="accent5" w:themeShade="80"/>
          <w:sz w:val="50"/>
          <w:szCs w:val="50"/>
        </w:rPr>
      </w:pPr>
      <w:r w:rsidRPr="0084714D">
        <w:rPr>
          <w:rFonts w:ascii="CIDFont+F2" w:hAnsi="CIDFont+F2" w:cs="CIDFont+F2"/>
          <w:color w:val="1F3864" w:themeColor="accent5" w:themeShade="80"/>
          <w:sz w:val="50"/>
          <w:szCs w:val="50"/>
        </w:rPr>
        <w:t xml:space="preserve">Akční plán </w:t>
      </w:r>
      <w:r w:rsidR="00AA0C8B">
        <w:rPr>
          <w:rFonts w:ascii="CIDFont+F2" w:hAnsi="CIDFont+F2" w:cs="CIDFont+F2"/>
          <w:color w:val="1F3864" w:themeColor="accent5" w:themeShade="80"/>
          <w:sz w:val="50"/>
          <w:szCs w:val="50"/>
        </w:rPr>
        <w:t xml:space="preserve">k naplnění </w:t>
      </w:r>
    </w:p>
    <w:p w14:paraId="3CD7ACD8" w14:textId="24BB4F7E" w:rsidR="00E44C9B" w:rsidRDefault="00E44C9B" w:rsidP="00E44C9B">
      <w:pPr>
        <w:autoSpaceDE w:val="0"/>
        <w:autoSpaceDN w:val="0"/>
        <w:adjustRightInd w:val="0"/>
        <w:spacing w:after="0" w:line="240" w:lineRule="auto"/>
        <w:jc w:val="center"/>
        <w:rPr>
          <w:rFonts w:ascii="CIDFont+F2" w:hAnsi="CIDFont+F2" w:cs="CIDFont+F2"/>
          <w:color w:val="1F3864" w:themeColor="accent5" w:themeShade="80"/>
          <w:sz w:val="50"/>
          <w:szCs w:val="50"/>
        </w:rPr>
      </w:pPr>
      <w:r w:rsidRPr="0084714D">
        <w:rPr>
          <w:rFonts w:ascii="CIDFont+F2" w:hAnsi="CIDFont+F2" w:cs="CIDFont+F2"/>
          <w:color w:val="1F3864" w:themeColor="accent5" w:themeShade="80"/>
          <w:sz w:val="50"/>
          <w:szCs w:val="50"/>
        </w:rPr>
        <w:t>Strategick</w:t>
      </w:r>
      <w:r w:rsidR="00AA0C8B">
        <w:rPr>
          <w:rFonts w:ascii="CIDFont+F2" w:hAnsi="CIDFont+F2" w:cs="CIDFont+F2"/>
          <w:color w:val="1F3864" w:themeColor="accent5" w:themeShade="80"/>
          <w:sz w:val="50"/>
          <w:szCs w:val="50"/>
        </w:rPr>
        <w:t>ého</w:t>
      </w:r>
      <w:r w:rsidRPr="0084714D">
        <w:rPr>
          <w:rFonts w:ascii="CIDFont+F2" w:hAnsi="CIDFont+F2" w:cs="CIDFont+F2"/>
          <w:color w:val="1F3864" w:themeColor="accent5" w:themeShade="80"/>
          <w:sz w:val="50"/>
          <w:szCs w:val="50"/>
        </w:rPr>
        <w:t xml:space="preserve"> rám</w:t>
      </w:r>
      <w:r w:rsidR="00AA0C8B">
        <w:rPr>
          <w:rFonts w:ascii="CIDFont+F2" w:hAnsi="CIDFont+F2" w:cs="CIDFont+F2"/>
          <w:color w:val="1F3864" w:themeColor="accent5" w:themeShade="80"/>
          <w:sz w:val="50"/>
          <w:szCs w:val="50"/>
        </w:rPr>
        <w:t>ce</w:t>
      </w:r>
      <w:r w:rsidRPr="0084714D">
        <w:rPr>
          <w:rFonts w:ascii="CIDFont+F2" w:hAnsi="CIDFont+F2" w:cs="CIDFont+F2"/>
          <w:color w:val="1F3864" w:themeColor="accent5" w:themeShade="80"/>
          <w:sz w:val="50"/>
          <w:szCs w:val="50"/>
        </w:rPr>
        <w:t xml:space="preserve"> přípravy na stárnutí společnosti </w:t>
      </w:r>
      <w:r w:rsidR="00AA0C8B">
        <w:rPr>
          <w:rFonts w:ascii="CIDFont+F2" w:hAnsi="CIDFont+F2" w:cs="CIDFont+F2"/>
          <w:color w:val="1F3864" w:themeColor="accent5" w:themeShade="80"/>
          <w:sz w:val="50"/>
          <w:szCs w:val="50"/>
        </w:rPr>
        <w:t xml:space="preserve">na období </w:t>
      </w:r>
      <w:r w:rsidRPr="0084714D">
        <w:rPr>
          <w:rFonts w:ascii="CIDFont+F2" w:hAnsi="CIDFont+F2" w:cs="CIDFont+F2"/>
          <w:color w:val="1F3864" w:themeColor="accent5" w:themeShade="80"/>
          <w:sz w:val="50"/>
          <w:szCs w:val="50"/>
        </w:rPr>
        <w:t>202</w:t>
      </w:r>
      <w:r w:rsidR="00AA0C8B">
        <w:rPr>
          <w:rFonts w:ascii="CIDFont+F2" w:hAnsi="CIDFont+F2" w:cs="CIDFont+F2"/>
          <w:color w:val="1F3864" w:themeColor="accent5" w:themeShade="80"/>
          <w:sz w:val="50"/>
          <w:szCs w:val="50"/>
        </w:rPr>
        <w:t>3</w:t>
      </w:r>
      <w:r w:rsidRPr="005D112B">
        <w:rPr>
          <w:rFonts w:ascii="CIDFont+F2" w:hAnsi="CIDFont+F2" w:cs="CIDFont+F2"/>
          <w:color w:val="1F3864" w:themeColor="accent5" w:themeShade="80"/>
          <w:sz w:val="50"/>
          <w:szCs w:val="50"/>
        </w:rPr>
        <w:t>–</w:t>
      </w:r>
      <w:r w:rsidRPr="0084714D">
        <w:rPr>
          <w:rFonts w:ascii="CIDFont+F2" w:hAnsi="CIDFont+F2" w:cs="CIDFont+F2"/>
          <w:color w:val="1F3864" w:themeColor="accent5" w:themeShade="80"/>
          <w:sz w:val="50"/>
          <w:szCs w:val="50"/>
        </w:rPr>
        <w:t>2025</w:t>
      </w:r>
    </w:p>
    <w:p w14:paraId="390E9E48" w14:textId="77777777" w:rsidR="00E44C9B" w:rsidRDefault="00E44C9B" w:rsidP="00E44C9B">
      <w:pPr>
        <w:autoSpaceDE w:val="0"/>
        <w:autoSpaceDN w:val="0"/>
        <w:adjustRightInd w:val="0"/>
        <w:spacing w:after="0" w:line="240" w:lineRule="auto"/>
        <w:rPr>
          <w:rFonts w:ascii="CIDFont+F2" w:hAnsi="CIDFont+F2" w:cs="CIDFont+F2"/>
          <w:sz w:val="50"/>
          <w:szCs w:val="50"/>
        </w:rPr>
      </w:pPr>
    </w:p>
    <w:p w14:paraId="00DAF266" w14:textId="77777777" w:rsidR="00E44C9B" w:rsidRDefault="00E44C9B" w:rsidP="00E44C9B">
      <w:pPr>
        <w:autoSpaceDE w:val="0"/>
        <w:autoSpaceDN w:val="0"/>
        <w:adjustRightInd w:val="0"/>
        <w:spacing w:after="0" w:line="240" w:lineRule="auto"/>
        <w:rPr>
          <w:rFonts w:ascii="CIDFont+F2" w:hAnsi="CIDFont+F2" w:cs="CIDFont+F2"/>
          <w:sz w:val="50"/>
          <w:szCs w:val="50"/>
        </w:rPr>
      </w:pPr>
    </w:p>
    <w:p w14:paraId="6A91D60B" w14:textId="77777777" w:rsidR="00E44C9B" w:rsidRDefault="00E44C9B" w:rsidP="00E44C9B">
      <w:pPr>
        <w:autoSpaceDE w:val="0"/>
        <w:autoSpaceDN w:val="0"/>
        <w:adjustRightInd w:val="0"/>
        <w:spacing w:after="0" w:line="240" w:lineRule="auto"/>
        <w:rPr>
          <w:rFonts w:ascii="CIDFont+F2" w:hAnsi="CIDFont+F2" w:cs="CIDFont+F2"/>
          <w:sz w:val="50"/>
          <w:szCs w:val="50"/>
        </w:rPr>
      </w:pPr>
    </w:p>
    <w:p w14:paraId="77CD5D87" w14:textId="77777777" w:rsidR="00E44C9B" w:rsidRDefault="00E44C9B" w:rsidP="00E44C9B">
      <w:pPr>
        <w:autoSpaceDE w:val="0"/>
        <w:autoSpaceDN w:val="0"/>
        <w:adjustRightInd w:val="0"/>
        <w:spacing w:after="0" w:line="240" w:lineRule="auto"/>
        <w:rPr>
          <w:rFonts w:ascii="CIDFont+F2" w:hAnsi="CIDFont+F2" w:cs="CIDFont+F2"/>
          <w:sz w:val="50"/>
          <w:szCs w:val="50"/>
        </w:rPr>
      </w:pPr>
    </w:p>
    <w:p w14:paraId="1C8A012D" w14:textId="77777777" w:rsidR="00E44C9B" w:rsidRDefault="00E44C9B" w:rsidP="00E44C9B">
      <w:pPr>
        <w:autoSpaceDE w:val="0"/>
        <w:autoSpaceDN w:val="0"/>
        <w:adjustRightInd w:val="0"/>
        <w:spacing w:after="0" w:line="240" w:lineRule="auto"/>
        <w:jc w:val="center"/>
        <w:rPr>
          <w:rFonts w:ascii="CIDFont+F2" w:hAnsi="CIDFont+F2" w:cs="CIDFont+F2"/>
          <w:sz w:val="50"/>
          <w:szCs w:val="50"/>
        </w:rPr>
      </w:pPr>
      <w:r>
        <w:rPr>
          <w:rFonts w:ascii="CIDFont+F2" w:hAnsi="CIDFont+F2" w:cs="CIDFont+F2"/>
          <w:noProof/>
          <w:sz w:val="50"/>
          <w:szCs w:val="50"/>
          <w:lang w:eastAsia="cs-CZ"/>
        </w:rPr>
        <w:drawing>
          <wp:inline distT="0" distB="0" distL="0" distR="0" wp14:anchorId="628E0DE5" wp14:editId="7EB800B9">
            <wp:extent cx="2901950" cy="1409711"/>
            <wp:effectExtent l="19050" t="0" r="0" b="0"/>
            <wp:docPr id="4" name="Obrázek 0" descr="mps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v_logo.jpg"/>
                    <pic:cNvPicPr/>
                  </pic:nvPicPr>
                  <pic:blipFill>
                    <a:blip r:embed="rId11" cstate="print"/>
                    <a:stretch>
                      <a:fillRect/>
                    </a:stretch>
                  </pic:blipFill>
                  <pic:spPr>
                    <a:xfrm>
                      <a:off x="0" y="0"/>
                      <a:ext cx="2902590" cy="1410022"/>
                    </a:xfrm>
                    <a:prstGeom prst="rect">
                      <a:avLst/>
                    </a:prstGeom>
                  </pic:spPr>
                </pic:pic>
              </a:graphicData>
            </a:graphic>
          </wp:inline>
        </w:drawing>
      </w:r>
    </w:p>
    <w:p w14:paraId="755BDC02" w14:textId="77777777" w:rsidR="00E44C9B" w:rsidRDefault="00E44C9B" w:rsidP="00E44C9B"/>
    <w:p w14:paraId="60142F90" w14:textId="77777777" w:rsidR="00E44C9B" w:rsidRDefault="00E44C9B" w:rsidP="00E44C9B"/>
    <w:p w14:paraId="01718474" w14:textId="77777777" w:rsidR="00E44C9B" w:rsidRDefault="00E44C9B" w:rsidP="00E44C9B"/>
    <w:p w14:paraId="7AF30125" w14:textId="3BA1E7E4" w:rsidR="00E44C9B" w:rsidRDefault="00E44C9B" w:rsidP="00E44C9B"/>
    <w:p w14:paraId="4D49FB5B" w14:textId="2C4E6193" w:rsidR="004F529E" w:rsidRDefault="004F529E" w:rsidP="00E44C9B"/>
    <w:p w14:paraId="560203DE" w14:textId="265B2FB8" w:rsidR="004F529E" w:rsidRDefault="004F529E" w:rsidP="00E44C9B"/>
    <w:p w14:paraId="1342780B" w14:textId="7803FB6F" w:rsidR="004F529E" w:rsidRDefault="004F529E" w:rsidP="00E44C9B"/>
    <w:p w14:paraId="4BD1CF6E" w14:textId="4B0F7D69" w:rsidR="004F529E" w:rsidRDefault="004F529E" w:rsidP="00E44C9B"/>
    <w:p w14:paraId="2C4B05CE" w14:textId="552A6F73" w:rsidR="004F529E" w:rsidRDefault="004F529E" w:rsidP="00E44C9B"/>
    <w:p w14:paraId="580270C8" w14:textId="70AD98F9" w:rsidR="004F529E" w:rsidRDefault="004F529E" w:rsidP="00E44C9B"/>
    <w:p w14:paraId="4ED26D03" w14:textId="79ACDCEF" w:rsidR="004F529E" w:rsidRDefault="004F529E" w:rsidP="00E44C9B"/>
    <w:p w14:paraId="77A4BCA6" w14:textId="77777777" w:rsidR="004F529E" w:rsidRDefault="004F529E" w:rsidP="00E44C9B"/>
    <w:p w14:paraId="577FF2AF" w14:textId="77777777" w:rsidR="00E44C9B" w:rsidRDefault="00E44C9B" w:rsidP="00E44C9B"/>
    <w:sdt>
      <w:sdtPr>
        <w:rPr>
          <w:rFonts w:asciiTheme="minorHAnsi" w:eastAsiaTheme="minorHAnsi" w:hAnsiTheme="minorHAnsi" w:cstheme="minorBidi"/>
          <w:color w:val="auto"/>
          <w:sz w:val="22"/>
          <w:szCs w:val="22"/>
          <w:lang w:eastAsia="en-US"/>
        </w:rPr>
        <w:id w:val="421149014"/>
        <w:docPartObj>
          <w:docPartGallery w:val="Table of Contents"/>
          <w:docPartUnique/>
        </w:docPartObj>
      </w:sdtPr>
      <w:sdtEndPr>
        <w:rPr>
          <w:b/>
          <w:bCs/>
        </w:rPr>
      </w:sdtEndPr>
      <w:sdtContent>
        <w:p w14:paraId="140AB028" w14:textId="77777777" w:rsidR="00E44C9B" w:rsidRPr="0013113B" w:rsidRDefault="00E44C9B" w:rsidP="00E44C9B">
          <w:pPr>
            <w:pStyle w:val="Nadpisobsahu"/>
          </w:pPr>
          <w:r w:rsidRPr="0013113B">
            <w:t>Obsah</w:t>
          </w:r>
        </w:p>
        <w:p w14:paraId="54EF1D74" w14:textId="7DFC365C" w:rsidR="001F3606" w:rsidRDefault="00E44C9B">
          <w:pPr>
            <w:pStyle w:val="Obsah1"/>
            <w:rPr>
              <w:rFonts w:asciiTheme="minorHAnsi" w:eastAsiaTheme="minorEastAsia" w:hAnsiTheme="minorHAnsi" w:cstheme="minorBidi"/>
              <w:noProof/>
              <w:lang w:eastAsia="cs-CZ"/>
            </w:rPr>
          </w:pPr>
          <w:r w:rsidRPr="003C2408">
            <w:rPr>
              <w:rFonts w:ascii="Arial" w:hAnsi="Arial" w:cs="Arial"/>
              <w:bCs/>
              <w:sz w:val="24"/>
              <w:szCs w:val="24"/>
            </w:rPr>
            <w:fldChar w:fldCharType="begin"/>
          </w:r>
          <w:r w:rsidRPr="003C2408">
            <w:rPr>
              <w:rFonts w:ascii="Arial" w:hAnsi="Arial" w:cs="Arial"/>
              <w:bCs/>
              <w:sz w:val="24"/>
              <w:szCs w:val="24"/>
            </w:rPr>
            <w:instrText xml:space="preserve"> TOC \o "1-3" \h \z \u </w:instrText>
          </w:r>
          <w:r w:rsidRPr="003C2408">
            <w:rPr>
              <w:rFonts w:ascii="Arial" w:hAnsi="Arial" w:cs="Arial"/>
              <w:bCs/>
              <w:sz w:val="24"/>
              <w:szCs w:val="24"/>
            </w:rPr>
            <w:fldChar w:fldCharType="separate"/>
          </w:r>
          <w:hyperlink w:anchor="_Toc137819475" w:history="1">
            <w:r w:rsidR="001F3606" w:rsidRPr="004C2F23">
              <w:rPr>
                <w:rStyle w:val="Hypertextovodkaz"/>
                <w:noProof/>
              </w:rPr>
              <w:t>1. Manažerské shrnutí</w:t>
            </w:r>
            <w:r w:rsidR="001F3606">
              <w:rPr>
                <w:noProof/>
                <w:webHidden/>
              </w:rPr>
              <w:tab/>
            </w:r>
            <w:r w:rsidR="001F3606">
              <w:rPr>
                <w:noProof/>
                <w:webHidden/>
              </w:rPr>
              <w:fldChar w:fldCharType="begin"/>
            </w:r>
            <w:r w:rsidR="001F3606">
              <w:rPr>
                <w:noProof/>
                <w:webHidden/>
              </w:rPr>
              <w:instrText xml:space="preserve"> PAGEREF _Toc137819475 \h </w:instrText>
            </w:r>
            <w:r w:rsidR="001F3606">
              <w:rPr>
                <w:noProof/>
                <w:webHidden/>
              </w:rPr>
            </w:r>
            <w:r w:rsidR="001F3606">
              <w:rPr>
                <w:noProof/>
                <w:webHidden/>
              </w:rPr>
              <w:fldChar w:fldCharType="separate"/>
            </w:r>
            <w:r w:rsidR="001F3606">
              <w:rPr>
                <w:noProof/>
                <w:webHidden/>
              </w:rPr>
              <w:t>3</w:t>
            </w:r>
            <w:r w:rsidR="001F3606">
              <w:rPr>
                <w:noProof/>
                <w:webHidden/>
              </w:rPr>
              <w:fldChar w:fldCharType="end"/>
            </w:r>
          </w:hyperlink>
        </w:p>
        <w:p w14:paraId="7449CF77" w14:textId="5FF6EC4C" w:rsidR="001F3606" w:rsidRDefault="003B1B01">
          <w:pPr>
            <w:pStyle w:val="Obsah1"/>
            <w:rPr>
              <w:rFonts w:asciiTheme="minorHAnsi" w:eastAsiaTheme="minorEastAsia" w:hAnsiTheme="minorHAnsi" w:cstheme="minorBidi"/>
              <w:noProof/>
              <w:lang w:eastAsia="cs-CZ"/>
            </w:rPr>
          </w:pPr>
          <w:hyperlink w:anchor="_Toc137819476" w:history="1">
            <w:r w:rsidR="001F3606" w:rsidRPr="004C2F23">
              <w:rPr>
                <w:rStyle w:val="Hypertextovodkaz"/>
                <w:noProof/>
              </w:rPr>
              <w:t>2. Úvod</w:t>
            </w:r>
            <w:r w:rsidR="001F3606">
              <w:rPr>
                <w:noProof/>
                <w:webHidden/>
              </w:rPr>
              <w:tab/>
            </w:r>
            <w:r w:rsidR="001F3606">
              <w:rPr>
                <w:noProof/>
                <w:webHidden/>
              </w:rPr>
              <w:fldChar w:fldCharType="begin"/>
            </w:r>
            <w:r w:rsidR="001F3606">
              <w:rPr>
                <w:noProof/>
                <w:webHidden/>
              </w:rPr>
              <w:instrText xml:space="preserve"> PAGEREF _Toc137819476 \h </w:instrText>
            </w:r>
            <w:r w:rsidR="001F3606">
              <w:rPr>
                <w:noProof/>
                <w:webHidden/>
              </w:rPr>
            </w:r>
            <w:r w:rsidR="001F3606">
              <w:rPr>
                <w:noProof/>
                <w:webHidden/>
              </w:rPr>
              <w:fldChar w:fldCharType="separate"/>
            </w:r>
            <w:r w:rsidR="001F3606">
              <w:rPr>
                <w:noProof/>
                <w:webHidden/>
              </w:rPr>
              <w:t>9</w:t>
            </w:r>
            <w:r w:rsidR="001F3606">
              <w:rPr>
                <w:noProof/>
                <w:webHidden/>
              </w:rPr>
              <w:fldChar w:fldCharType="end"/>
            </w:r>
          </w:hyperlink>
        </w:p>
        <w:p w14:paraId="4EA910C0" w14:textId="211F2B5F" w:rsidR="001F3606" w:rsidRDefault="003B1B01">
          <w:pPr>
            <w:pStyle w:val="Obsah1"/>
            <w:rPr>
              <w:rFonts w:asciiTheme="minorHAnsi" w:eastAsiaTheme="minorEastAsia" w:hAnsiTheme="minorHAnsi" w:cstheme="minorBidi"/>
              <w:noProof/>
              <w:lang w:eastAsia="cs-CZ"/>
            </w:rPr>
          </w:pPr>
          <w:hyperlink w:anchor="_Toc137819477" w:history="1">
            <w:r w:rsidR="001F3606" w:rsidRPr="004C2F23">
              <w:rPr>
                <w:rStyle w:val="Hypertextovodkaz"/>
                <w:noProof/>
              </w:rPr>
              <w:t>3. Návaznost na koncepční a strategické dokumenty</w:t>
            </w:r>
            <w:r w:rsidR="001F3606">
              <w:rPr>
                <w:noProof/>
                <w:webHidden/>
              </w:rPr>
              <w:tab/>
            </w:r>
            <w:r w:rsidR="001F3606">
              <w:rPr>
                <w:noProof/>
                <w:webHidden/>
              </w:rPr>
              <w:fldChar w:fldCharType="begin"/>
            </w:r>
            <w:r w:rsidR="001F3606">
              <w:rPr>
                <w:noProof/>
                <w:webHidden/>
              </w:rPr>
              <w:instrText xml:space="preserve"> PAGEREF _Toc137819477 \h </w:instrText>
            </w:r>
            <w:r w:rsidR="001F3606">
              <w:rPr>
                <w:noProof/>
                <w:webHidden/>
              </w:rPr>
            </w:r>
            <w:r w:rsidR="001F3606">
              <w:rPr>
                <w:noProof/>
                <w:webHidden/>
              </w:rPr>
              <w:fldChar w:fldCharType="separate"/>
            </w:r>
            <w:r w:rsidR="001F3606">
              <w:rPr>
                <w:noProof/>
                <w:webHidden/>
              </w:rPr>
              <w:t>16</w:t>
            </w:r>
            <w:r w:rsidR="001F3606">
              <w:rPr>
                <w:noProof/>
                <w:webHidden/>
              </w:rPr>
              <w:fldChar w:fldCharType="end"/>
            </w:r>
          </w:hyperlink>
        </w:p>
        <w:p w14:paraId="46F46DCA" w14:textId="1F7313D0" w:rsidR="001F3606" w:rsidRDefault="003B1B01">
          <w:pPr>
            <w:pStyle w:val="Obsah1"/>
            <w:rPr>
              <w:rFonts w:asciiTheme="minorHAnsi" w:eastAsiaTheme="minorEastAsia" w:hAnsiTheme="minorHAnsi" w:cstheme="minorBidi"/>
              <w:noProof/>
              <w:lang w:eastAsia="cs-CZ"/>
            </w:rPr>
          </w:pPr>
          <w:hyperlink w:anchor="_Toc137819478" w:history="1">
            <w:r w:rsidR="001F3606" w:rsidRPr="004C2F23">
              <w:rPr>
                <w:rStyle w:val="Hypertextovodkaz"/>
                <w:noProof/>
              </w:rPr>
              <w:t>4. Shrnutí základních dat a nových skutečností o ČR</w:t>
            </w:r>
            <w:r w:rsidR="001F3606">
              <w:rPr>
                <w:noProof/>
                <w:webHidden/>
              </w:rPr>
              <w:tab/>
            </w:r>
            <w:r w:rsidR="001F3606">
              <w:rPr>
                <w:noProof/>
                <w:webHidden/>
              </w:rPr>
              <w:fldChar w:fldCharType="begin"/>
            </w:r>
            <w:r w:rsidR="001F3606">
              <w:rPr>
                <w:noProof/>
                <w:webHidden/>
              </w:rPr>
              <w:instrText xml:space="preserve"> PAGEREF _Toc137819478 \h </w:instrText>
            </w:r>
            <w:r w:rsidR="001F3606">
              <w:rPr>
                <w:noProof/>
                <w:webHidden/>
              </w:rPr>
            </w:r>
            <w:r w:rsidR="001F3606">
              <w:rPr>
                <w:noProof/>
                <w:webHidden/>
              </w:rPr>
              <w:fldChar w:fldCharType="separate"/>
            </w:r>
            <w:r w:rsidR="001F3606">
              <w:rPr>
                <w:noProof/>
                <w:webHidden/>
              </w:rPr>
              <w:t>19</w:t>
            </w:r>
            <w:r w:rsidR="001F3606">
              <w:rPr>
                <w:noProof/>
                <w:webHidden/>
              </w:rPr>
              <w:fldChar w:fldCharType="end"/>
            </w:r>
          </w:hyperlink>
        </w:p>
        <w:p w14:paraId="2A24C8A2" w14:textId="18ECF861"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79" w:history="1">
            <w:r w:rsidR="001F3606" w:rsidRPr="004C2F23">
              <w:rPr>
                <w:rStyle w:val="Hypertextovodkaz"/>
                <w:noProof/>
              </w:rPr>
              <w:t>A Demografické změny v České republice</w:t>
            </w:r>
            <w:r w:rsidR="001F3606">
              <w:rPr>
                <w:noProof/>
                <w:webHidden/>
              </w:rPr>
              <w:tab/>
            </w:r>
            <w:r w:rsidR="001F3606">
              <w:rPr>
                <w:noProof/>
                <w:webHidden/>
              </w:rPr>
              <w:fldChar w:fldCharType="begin"/>
            </w:r>
            <w:r w:rsidR="001F3606">
              <w:rPr>
                <w:noProof/>
                <w:webHidden/>
              </w:rPr>
              <w:instrText xml:space="preserve"> PAGEREF _Toc137819479 \h </w:instrText>
            </w:r>
            <w:r w:rsidR="001F3606">
              <w:rPr>
                <w:noProof/>
                <w:webHidden/>
              </w:rPr>
            </w:r>
            <w:r w:rsidR="001F3606">
              <w:rPr>
                <w:noProof/>
                <w:webHidden/>
              </w:rPr>
              <w:fldChar w:fldCharType="separate"/>
            </w:r>
            <w:r w:rsidR="001F3606">
              <w:rPr>
                <w:noProof/>
                <w:webHidden/>
              </w:rPr>
              <w:t>19</w:t>
            </w:r>
            <w:r w:rsidR="001F3606">
              <w:rPr>
                <w:noProof/>
                <w:webHidden/>
              </w:rPr>
              <w:fldChar w:fldCharType="end"/>
            </w:r>
          </w:hyperlink>
        </w:p>
        <w:p w14:paraId="6031B80E" w14:textId="6D9E6A5C"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0" w:history="1">
            <w:r w:rsidR="001F3606" w:rsidRPr="004C2F23">
              <w:rPr>
                <w:rStyle w:val="Hypertextovodkaz"/>
                <w:noProof/>
              </w:rPr>
              <w:t>B Finanční zajištění ve stáří</w:t>
            </w:r>
            <w:r w:rsidR="001F3606">
              <w:rPr>
                <w:noProof/>
                <w:webHidden/>
              </w:rPr>
              <w:tab/>
            </w:r>
            <w:r w:rsidR="001F3606">
              <w:rPr>
                <w:noProof/>
                <w:webHidden/>
              </w:rPr>
              <w:fldChar w:fldCharType="begin"/>
            </w:r>
            <w:r w:rsidR="001F3606">
              <w:rPr>
                <w:noProof/>
                <w:webHidden/>
              </w:rPr>
              <w:instrText xml:space="preserve"> PAGEREF _Toc137819480 \h </w:instrText>
            </w:r>
            <w:r w:rsidR="001F3606">
              <w:rPr>
                <w:noProof/>
                <w:webHidden/>
              </w:rPr>
            </w:r>
            <w:r w:rsidR="001F3606">
              <w:rPr>
                <w:noProof/>
                <w:webHidden/>
              </w:rPr>
              <w:fldChar w:fldCharType="separate"/>
            </w:r>
            <w:r w:rsidR="001F3606">
              <w:rPr>
                <w:noProof/>
                <w:webHidden/>
              </w:rPr>
              <w:t>20</w:t>
            </w:r>
            <w:r w:rsidR="001F3606">
              <w:rPr>
                <w:noProof/>
                <w:webHidden/>
              </w:rPr>
              <w:fldChar w:fldCharType="end"/>
            </w:r>
          </w:hyperlink>
        </w:p>
        <w:p w14:paraId="6E6EDCAE" w14:textId="13AA528C"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1" w:history="1">
            <w:r w:rsidR="001F3606" w:rsidRPr="004C2F23">
              <w:rPr>
                <w:rStyle w:val="Hypertextovodkaz"/>
                <w:noProof/>
              </w:rPr>
              <w:t>C Bydlení</w:t>
            </w:r>
            <w:r w:rsidR="001F3606">
              <w:rPr>
                <w:noProof/>
                <w:webHidden/>
              </w:rPr>
              <w:tab/>
            </w:r>
            <w:r w:rsidR="001F3606">
              <w:rPr>
                <w:noProof/>
                <w:webHidden/>
              </w:rPr>
              <w:fldChar w:fldCharType="begin"/>
            </w:r>
            <w:r w:rsidR="001F3606">
              <w:rPr>
                <w:noProof/>
                <w:webHidden/>
              </w:rPr>
              <w:instrText xml:space="preserve"> PAGEREF _Toc137819481 \h </w:instrText>
            </w:r>
            <w:r w:rsidR="001F3606">
              <w:rPr>
                <w:noProof/>
                <w:webHidden/>
              </w:rPr>
            </w:r>
            <w:r w:rsidR="001F3606">
              <w:rPr>
                <w:noProof/>
                <w:webHidden/>
              </w:rPr>
              <w:fldChar w:fldCharType="separate"/>
            </w:r>
            <w:r w:rsidR="001F3606">
              <w:rPr>
                <w:noProof/>
                <w:webHidden/>
              </w:rPr>
              <w:t>22</w:t>
            </w:r>
            <w:r w:rsidR="001F3606">
              <w:rPr>
                <w:noProof/>
                <w:webHidden/>
              </w:rPr>
              <w:fldChar w:fldCharType="end"/>
            </w:r>
          </w:hyperlink>
        </w:p>
        <w:p w14:paraId="2E14F91F" w14:textId="7CF7655C"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2" w:history="1">
            <w:r w:rsidR="001F3606" w:rsidRPr="004C2F23">
              <w:rPr>
                <w:rStyle w:val="Hypertextovodkaz"/>
                <w:noProof/>
              </w:rPr>
              <w:t>D Zdraví a prevence</w:t>
            </w:r>
            <w:r w:rsidR="001F3606">
              <w:rPr>
                <w:noProof/>
                <w:webHidden/>
              </w:rPr>
              <w:tab/>
            </w:r>
            <w:r w:rsidR="001F3606">
              <w:rPr>
                <w:noProof/>
                <w:webHidden/>
              </w:rPr>
              <w:fldChar w:fldCharType="begin"/>
            </w:r>
            <w:r w:rsidR="001F3606">
              <w:rPr>
                <w:noProof/>
                <w:webHidden/>
              </w:rPr>
              <w:instrText xml:space="preserve"> PAGEREF _Toc137819482 \h </w:instrText>
            </w:r>
            <w:r w:rsidR="001F3606">
              <w:rPr>
                <w:noProof/>
                <w:webHidden/>
              </w:rPr>
            </w:r>
            <w:r w:rsidR="001F3606">
              <w:rPr>
                <w:noProof/>
                <w:webHidden/>
              </w:rPr>
              <w:fldChar w:fldCharType="separate"/>
            </w:r>
            <w:r w:rsidR="001F3606">
              <w:rPr>
                <w:noProof/>
                <w:webHidden/>
              </w:rPr>
              <w:t>23</w:t>
            </w:r>
            <w:r w:rsidR="001F3606">
              <w:rPr>
                <w:noProof/>
                <w:webHidden/>
              </w:rPr>
              <w:fldChar w:fldCharType="end"/>
            </w:r>
          </w:hyperlink>
        </w:p>
        <w:p w14:paraId="75A5E21D" w14:textId="2335586C"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3" w:history="1">
            <w:r w:rsidR="001F3606" w:rsidRPr="004C2F23">
              <w:rPr>
                <w:rStyle w:val="Hypertextovodkaz"/>
                <w:noProof/>
              </w:rPr>
              <w:t>E Podpora a péče</w:t>
            </w:r>
            <w:r w:rsidR="001F3606">
              <w:rPr>
                <w:noProof/>
                <w:webHidden/>
              </w:rPr>
              <w:tab/>
            </w:r>
            <w:r w:rsidR="001F3606">
              <w:rPr>
                <w:noProof/>
                <w:webHidden/>
              </w:rPr>
              <w:fldChar w:fldCharType="begin"/>
            </w:r>
            <w:r w:rsidR="001F3606">
              <w:rPr>
                <w:noProof/>
                <w:webHidden/>
              </w:rPr>
              <w:instrText xml:space="preserve"> PAGEREF _Toc137819483 \h </w:instrText>
            </w:r>
            <w:r w:rsidR="001F3606">
              <w:rPr>
                <w:noProof/>
                <w:webHidden/>
              </w:rPr>
            </w:r>
            <w:r w:rsidR="001F3606">
              <w:rPr>
                <w:noProof/>
                <w:webHidden/>
              </w:rPr>
              <w:fldChar w:fldCharType="separate"/>
            </w:r>
            <w:r w:rsidR="001F3606">
              <w:rPr>
                <w:noProof/>
                <w:webHidden/>
              </w:rPr>
              <w:t>23</w:t>
            </w:r>
            <w:r w:rsidR="001F3606">
              <w:rPr>
                <w:noProof/>
                <w:webHidden/>
              </w:rPr>
              <w:fldChar w:fldCharType="end"/>
            </w:r>
          </w:hyperlink>
        </w:p>
        <w:p w14:paraId="77E07A27" w14:textId="2EB9D83B"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4" w:history="1">
            <w:r w:rsidR="001F3606" w:rsidRPr="004C2F23">
              <w:rPr>
                <w:rStyle w:val="Hypertextovodkaz"/>
                <w:noProof/>
              </w:rPr>
              <w:t>F Zaměstnanost a celoživotní učení</w:t>
            </w:r>
            <w:r w:rsidR="001F3606">
              <w:rPr>
                <w:noProof/>
                <w:webHidden/>
              </w:rPr>
              <w:tab/>
            </w:r>
            <w:r w:rsidR="001F3606">
              <w:rPr>
                <w:noProof/>
                <w:webHidden/>
              </w:rPr>
              <w:fldChar w:fldCharType="begin"/>
            </w:r>
            <w:r w:rsidR="001F3606">
              <w:rPr>
                <w:noProof/>
                <w:webHidden/>
              </w:rPr>
              <w:instrText xml:space="preserve"> PAGEREF _Toc137819484 \h </w:instrText>
            </w:r>
            <w:r w:rsidR="001F3606">
              <w:rPr>
                <w:noProof/>
                <w:webHidden/>
              </w:rPr>
            </w:r>
            <w:r w:rsidR="001F3606">
              <w:rPr>
                <w:noProof/>
                <w:webHidden/>
              </w:rPr>
              <w:fldChar w:fldCharType="separate"/>
            </w:r>
            <w:r w:rsidR="001F3606">
              <w:rPr>
                <w:noProof/>
                <w:webHidden/>
              </w:rPr>
              <w:t>25</w:t>
            </w:r>
            <w:r w:rsidR="001F3606">
              <w:rPr>
                <w:noProof/>
                <w:webHidden/>
              </w:rPr>
              <w:fldChar w:fldCharType="end"/>
            </w:r>
          </w:hyperlink>
        </w:p>
        <w:p w14:paraId="79BB21AD" w14:textId="43839FC3"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5" w:history="1">
            <w:r w:rsidR="001F3606" w:rsidRPr="004C2F23">
              <w:rPr>
                <w:rStyle w:val="Hypertextovodkaz"/>
                <w:noProof/>
              </w:rPr>
              <w:t>G Prevence sociální izolace, podpora mezigeneračních vztahů a bezbariérovost</w:t>
            </w:r>
            <w:r w:rsidR="001F3606">
              <w:rPr>
                <w:noProof/>
                <w:webHidden/>
              </w:rPr>
              <w:tab/>
            </w:r>
            <w:r w:rsidR="001F3606">
              <w:rPr>
                <w:noProof/>
                <w:webHidden/>
              </w:rPr>
              <w:fldChar w:fldCharType="begin"/>
            </w:r>
            <w:r w:rsidR="001F3606">
              <w:rPr>
                <w:noProof/>
                <w:webHidden/>
              </w:rPr>
              <w:instrText xml:space="preserve"> PAGEREF _Toc137819485 \h </w:instrText>
            </w:r>
            <w:r w:rsidR="001F3606">
              <w:rPr>
                <w:noProof/>
                <w:webHidden/>
              </w:rPr>
            </w:r>
            <w:r w:rsidR="001F3606">
              <w:rPr>
                <w:noProof/>
                <w:webHidden/>
              </w:rPr>
              <w:fldChar w:fldCharType="separate"/>
            </w:r>
            <w:r w:rsidR="001F3606">
              <w:rPr>
                <w:noProof/>
                <w:webHidden/>
              </w:rPr>
              <w:t>26</w:t>
            </w:r>
            <w:r w:rsidR="001F3606">
              <w:rPr>
                <w:noProof/>
                <w:webHidden/>
              </w:rPr>
              <w:fldChar w:fldCharType="end"/>
            </w:r>
          </w:hyperlink>
        </w:p>
        <w:p w14:paraId="1B07DF43" w14:textId="351A8BA9" w:rsidR="001F3606" w:rsidRDefault="003B1B01">
          <w:pPr>
            <w:pStyle w:val="Obsah2"/>
            <w:tabs>
              <w:tab w:val="right" w:leader="dot" w:pos="9060"/>
            </w:tabs>
            <w:rPr>
              <w:rFonts w:asciiTheme="minorHAnsi" w:eastAsiaTheme="minorEastAsia" w:hAnsiTheme="minorHAnsi" w:cstheme="minorBidi"/>
              <w:noProof/>
              <w:lang w:eastAsia="cs-CZ"/>
            </w:rPr>
          </w:pPr>
          <w:hyperlink w:anchor="_Toc137819486" w:history="1">
            <w:r w:rsidR="001F3606" w:rsidRPr="004C2F23">
              <w:rPr>
                <w:rStyle w:val="Hypertextovodkaz"/>
                <w:noProof/>
              </w:rPr>
              <w:t>H Diskriminace, týrání, zneužívání a ochrana spotřebitele</w:t>
            </w:r>
            <w:r w:rsidR="001F3606">
              <w:rPr>
                <w:noProof/>
                <w:webHidden/>
              </w:rPr>
              <w:tab/>
            </w:r>
            <w:r w:rsidR="001F3606">
              <w:rPr>
                <w:noProof/>
                <w:webHidden/>
              </w:rPr>
              <w:fldChar w:fldCharType="begin"/>
            </w:r>
            <w:r w:rsidR="001F3606">
              <w:rPr>
                <w:noProof/>
                <w:webHidden/>
              </w:rPr>
              <w:instrText xml:space="preserve"> PAGEREF _Toc137819486 \h </w:instrText>
            </w:r>
            <w:r w:rsidR="001F3606">
              <w:rPr>
                <w:noProof/>
                <w:webHidden/>
              </w:rPr>
            </w:r>
            <w:r w:rsidR="001F3606">
              <w:rPr>
                <w:noProof/>
                <w:webHidden/>
              </w:rPr>
              <w:fldChar w:fldCharType="separate"/>
            </w:r>
            <w:r w:rsidR="001F3606">
              <w:rPr>
                <w:noProof/>
                <w:webHidden/>
              </w:rPr>
              <w:t>27</w:t>
            </w:r>
            <w:r w:rsidR="001F3606">
              <w:rPr>
                <w:noProof/>
                <w:webHidden/>
              </w:rPr>
              <w:fldChar w:fldCharType="end"/>
            </w:r>
          </w:hyperlink>
        </w:p>
        <w:p w14:paraId="180CD918" w14:textId="72EF1F24" w:rsidR="001F3606" w:rsidRDefault="003B1B01">
          <w:pPr>
            <w:pStyle w:val="Obsah1"/>
            <w:rPr>
              <w:rFonts w:asciiTheme="minorHAnsi" w:eastAsiaTheme="minorEastAsia" w:hAnsiTheme="minorHAnsi" w:cstheme="minorBidi"/>
              <w:noProof/>
              <w:lang w:eastAsia="cs-CZ"/>
            </w:rPr>
          </w:pPr>
          <w:hyperlink w:anchor="_Toc137819487" w:history="1">
            <w:r w:rsidR="001F3606" w:rsidRPr="004C2F23">
              <w:rPr>
                <w:rStyle w:val="Hypertextovodkaz"/>
                <w:noProof/>
              </w:rPr>
              <w:t>5. Predikce vývoje makroekonomických a sociálních aspektů z pohledu politiky stárnutí</w:t>
            </w:r>
            <w:r w:rsidR="001F3606">
              <w:rPr>
                <w:noProof/>
                <w:webHidden/>
              </w:rPr>
              <w:tab/>
            </w:r>
            <w:r w:rsidR="001F3606">
              <w:rPr>
                <w:noProof/>
                <w:webHidden/>
              </w:rPr>
              <w:fldChar w:fldCharType="begin"/>
            </w:r>
            <w:r w:rsidR="001F3606">
              <w:rPr>
                <w:noProof/>
                <w:webHidden/>
              </w:rPr>
              <w:instrText xml:space="preserve"> PAGEREF _Toc137819487 \h </w:instrText>
            </w:r>
            <w:r w:rsidR="001F3606">
              <w:rPr>
                <w:noProof/>
                <w:webHidden/>
              </w:rPr>
            </w:r>
            <w:r w:rsidR="001F3606">
              <w:rPr>
                <w:noProof/>
                <w:webHidden/>
              </w:rPr>
              <w:fldChar w:fldCharType="separate"/>
            </w:r>
            <w:r w:rsidR="001F3606">
              <w:rPr>
                <w:noProof/>
                <w:webHidden/>
              </w:rPr>
              <w:t>28</w:t>
            </w:r>
            <w:r w:rsidR="001F3606">
              <w:rPr>
                <w:noProof/>
                <w:webHidden/>
              </w:rPr>
              <w:fldChar w:fldCharType="end"/>
            </w:r>
          </w:hyperlink>
        </w:p>
        <w:p w14:paraId="3FF139B2" w14:textId="0B96B605" w:rsidR="001F3606" w:rsidRDefault="003B1B01">
          <w:pPr>
            <w:pStyle w:val="Obsah1"/>
            <w:rPr>
              <w:rFonts w:asciiTheme="minorHAnsi" w:eastAsiaTheme="minorEastAsia" w:hAnsiTheme="minorHAnsi" w:cstheme="minorBidi"/>
              <w:noProof/>
              <w:lang w:eastAsia="cs-CZ"/>
            </w:rPr>
          </w:pPr>
          <w:hyperlink w:anchor="_Toc137819488" w:history="1">
            <w:r w:rsidR="001F3606" w:rsidRPr="004C2F23">
              <w:rPr>
                <w:rStyle w:val="Hypertextovodkaz"/>
                <w:noProof/>
              </w:rPr>
              <w:t>6. SWOT analýza politiky stárnutí</w:t>
            </w:r>
            <w:r w:rsidR="001F3606">
              <w:rPr>
                <w:noProof/>
                <w:webHidden/>
              </w:rPr>
              <w:tab/>
            </w:r>
            <w:r w:rsidR="001F3606">
              <w:rPr>
                <w:noProof/>
                <w:webHidden/>
              </w:rPr>
              <w:fldChar w:fldCharType="begin"/>
            </w:r>
            <w:r w:rsidR="001F3606">
              <w:rPr>
                <w:noProof/>
                <w:webHidden/>
              </w:rPr>
              <w:instrText xml:space="preserve"> PAGEREF _Toc137819488 \h </w:instrText>
            </w:r>
            <w:r w:rsidR="001F3606">
              <w:rPr>
                <w:noProof/>
                <w:webHidden/>
              </w:rPr>
            </w:r>
            <w:r w:rsidR="001F3606">
              <w:rPr>
                <w:noProof/>
                <w:webHidden/>
              </w:rPr>
              <w:fldChar w:fldCharType="separate"/>
            </w:r>
            <w:r w:rsidR="001F3606">
              <w:rPr>
                <w:noProof/>
                <w:webHidden/>
              </w:rPr>
              <w:t>29</w:t>
            </w:r>
            <w:r w:rsidR="001F3606">
              <w:rPr>
                <w:noProof/>
                <w:webHidden/>
              </w:rPr>
              <w:fldChar w:fldCharType="end"/>
            </w:r>
          </w:hyperlink>
        </w:p>
        <w:p w14:paraId="243F428C" w14:textId="23799F9E" w:rsidR="001F3606" w:rsidRDefault="003B1B01">
          <w:pPr>
            <w:pStyle w:val="Obsah1"/>
            <w:rPr>
              <w:rFonts w:asciiTheme="minorHAnsi" w:eastAsiaTheme="minorEastAsia" w:hAnsiTheme="minorHAnsi" w:cstheme="minorBidi"/>
              <w:noProof/>
              <w:lang w:eastAsia="cs-CZ"/>
            </w:rPr>
          </w:pPr>
          <w:hyperlink w:anchor="_Toc137819489" w:history="1">
            <w:r w:rsidR="001F3606" w:rsidRPr="004C2F23">
              <w:rPr>
                <w:rStyle w:val="Hypertextovodkaz"/>
                <w:noProof/>
              </w:rPr>
              <w:t>9.</w:t>
            </w:r>
            <w:r w:rsidR="001F3606">
              <w:rPr>
                <w:noProof/>
                <w:webHidden/>
              </w:rPr>
              <w:tab/>
            </w:r>
            <w:r w:rsidR="001F3606">
              <w:rPr>
                <w:noProof/>
                <w:webHidden/>
              </w:rPr>
              <w:fldChar w:fldCharType="begin"/>
            </w:r>
            <w:r w:rsidR="001F3606">
              <w:rPr>
                <w:noProof/>
                <w:webHidden/>
              </w:rPr>
              <w:instrText xml:space="preserve"> PAGEREF _Toc137819489 \h </w:instrText>
            </w:r>
            <w:r w:rsidR="001F3606">
              <w:rPr>
                <w:noProof/>
                <w:webHidden/>
              </w:rPr>
            </w:r>
            <w:r w:rsidR="001F3606">
              <w:rPr>
                <w:noProof/>
                <w:webHidden/>
              </w:rPr>
              <w:fldChar w:fldCharType="separate"/>
            </w:r>
            <w:r w:rsidR="001F3606">
              <w:rPr>
                <w:noProof/>
                <w:webHidden/>
              </w:rPr>
              <w:t>33</w:t>
            </w:r>
            <w:r w:rsidR="001F3606">
              <w:rPr>
                <w:noProof/>
                <w:webHidden/>
              </w:rPr>
              <w:fldChar w:fldCharType="end"/>
            </w:r>
          </w:hyperlink>
        </w:p>
        <w:p w14:paraId="7C7D9D42" w14:textId="29E8C961" w:rsidR="00E44C9B" w:rsidRDefault="00E44C9B" w:rsidP="00E44C9B">
          <w:pPr>
            <w:rPr>
              <w:b/>
              <w:bCs/>
            </w:rPr>
          </w:pPr>
          <w:r w:rsidRPr="003C2408">
            <w:rPr>
              <w:rFonts w:ascii="Arial" w:hAnsi="Arial" w:cs="Arial"/>
              <w:bCs/>
              <w:sz w:val="24"/>
              <w:szCs w:val="24"/>
            </w:rPr>
            <w:fldChar w:fldCharType="end"/>
          </w:r>
        </w:p>
      </w:sdtContent>
    </w:sdt>
    <w:p w14:paraId="2F203151" w14:textId="14FEC33C" w:rsidR="00C7739D" w:rsidRDefault="00C7739D">
      <w:pPr>
        <w:spacing w:after="160" w:line="259" w:lineRule="auto"/>
      </w:pPr>
      <w:r>
        <w:br w:type="page"/>
      </w:r>
    </w:p>
    <w:p w14:paraId="642D3407" w14:textId="2C68C92F" w:rsidR="00215199" w:rsidRPr="00215199" w:rsidRDefault="00DC3D48" w:rsidP="00D9431E">
      <w:pPr>
        <w:pStyle w:val="Nadpis1"/>
        <w:pBdr>
          <w:bottom w:val="single" w:sz="4" w:space="1" w:color="auto"/>
        </w:pBdr>
        <w:spacing w:after="200"/>
      </w:pPr>
      <w:bookmarkStart w:id="0" w:name="_Toc137819475"/>
      <w:r>
        <w:lastRenderedPageBreak/>
        <w:t xml:space="preserve">1. </w:t>
      </w:r>
      <w:r w:rsidR="001C7A45">
        <w:t xml:space="preserve">Manažerské </w:t>
      </w:r>
      <w:r w:rsidR="00447B6A">
        <w:t>shrnutí</w:t>
      </w:r>
      <w:bookmarkEnd w:id="0"/>
      <w:r w:rsidR="001C7A45">
        <w:t xml:space="preserve"> </w:t>
      </w:r>
      <w:r w:rsidR="001C7A45" w:rsidRPr="00F70627">
        <w:t xml:space="preserve"> </w:t>
      </w:r>
      <w:r w:rsidR="00F84982">
        <w:t xml:space="preserve"> </w:t>
      </w:r>
    </w:p>
    <w:p w14:paraId="729789DF" w14:textId="1382AEFF" w:rsidR="00215199" w:rsidRPr="00F002C1" w:rsidRDefault="00215199" w:rsidP="001D658C">
      <w:pPr>
        <w:pStyle w:val="Odstavecseseznamem"/>
        <w:numPr>
          <w:ilvl w:val="0"/>
          <w:numId w:val="9"/>
        </w:numPr>
        <w:spacing w:line="360" w:lineRule="auto"/>
        <w:ind w:left="284" w:hanging="284"/>
        <w:jc w:val="both"/>
        <w:rPr>
          <w:rFonts w:ascii="Arial" w:hAnsi="Arial" w:cs="Arial"/>
          <w:color w:val="000000" w:themeColor="text1"/>
          <w:sz w:val="24"/>
          <w:szCs w:val="24"/>
        </w:rPr>
      </w:pPr>
      <w:r w:rsidRPr="00F002C1">
        <w:rPr>
          <w:rFonts w:ascii="Arial" w:hAnsi="Arial" w:cs="Arial"/>
          <w:color w:val="000000" w:themeColor="text1"/>
          <w:sz w:val="24"/>
          <w:szCs w:val="24"/>
        </w:rPr>
        <w:t xml:space="preserve">Akční plán </w:t>
      </w:r>
      <w:r w:rsidR="00AA0C8B" w:rsidRPr="00F002C1">
        <w:rPr>
          <w:rFonts w:ascii="Arial" w:hAnsi="Arial" w:cs="Arial"/>
          <w:color w:val="000000" w:themeColor="text1"/>
          <w:sz w:val="24"/>
          <w:szCs w:val="24"/>
        </w:rPr>
        <w:t>k naplnění</w:t>
      </w:r>
      <w:r w:rsidRPr="00F002C1">
        <w:rPr>
          <w:rFonts w:ascii="Arial" w:hAnsi="Arial" w:cs="Arial"/>
          <w:color w:val="000000" w:themeColor="text1"/>
          <w:sz w:val="24"/>
          <w:szCs w:val="24"/>
        </w:rPr>
        <w:t xml:space="preserve"> Strategické</w:t>
      </w:r>
      <w:r w:rsidR="00AA0C8B" w:rsidRPr="00F002C1">
        <w:rPr>
          <w:rFonts w:ascii="Arial" w:hAnsi="Arial" w:cs="Arial"/>
          <w:color w:val="000000" w:themeColor="text1"/>
          <w:sz w:val="24"/>
          <w:szCs w:val="24"/>
        </w:rPr>
        <w:t>ho</w:t>
      </w:r>
      <w:r w:rsidRPr="00F002C1">
        <w:rPr>
          <w:rFonts w:ascii="Arial" w:hAnsi="Arial" w:cs="Arial"/>
          <w:color w:val="000000" w:themeColor="text1"/>
          <w:sz w:val="24"/>
          <w:szCs w:val="24"/>
        </w:rPr>
        <w:t xml:space="preserve"> rámc</w:t>
      </w:r>
      <w:r w:rsidR="00AA0C8B" w:rsidRPr="00F002C1">
        <w:rPr>
          <w:rFonts w:ascii="Arial" w:hAnsi="Arial" w:cs="Arial"/>
          <w:color w:val="000000" w:themeColor="text1"/>
          <w:sz w:val="24"/>
          <w:szCs w:val="24"/>
        </w:rPr>
        <w:t>e</w:t>
      </w:r>
      <w:r w:rsidRPr="00F002C1">
        <w:rPr>
          <w:rFonts w:ascii="Arial" w:hAnsi="Arial" w:cs="Arial"/>
          <w:color w:val="000000" w:themeColor="text1"/>
          <w:sz w:val="24"/>
          <w:szCs w:val="24"/>
        </w:rPr>
        <w:t xml:space="preserve"> přípravy na stárnutí společnosti </w:t>
      </w:r>
      <w:r w:rsidR="00AA0C8B" w:rsidRPr="00F002C1">
        <w:rPr>
          <w:rFonts w:ascii="Arial" w:hAnsi="Arial" w:cs="Arial"/>
          <w:color w:val="000000" w:themeColor="text1"/>
          <w:sz w:val="24"/>
          <w:szCs w:val="24"/>
        </w:rPr>
        <w:t xml:space="preserve">na období </w:t>
      </w:r>
      <w:r w:rsidRPr="00F002C1">
        <w:rPr>
          <w:rFonts w:ascii="Arial" w:hAnsi="Arial" w:cs="Arial"/>
          <w:color w:val="000000" w:themeColor="text1"/>
          <w:sz w:val="24"/>
          <w:szCs w:val="24"/>
        </w:rPr>
        <w:t>202</w:t>
      </w:r>
      <w:r w:rsidR="00AA0C8B" w:rsidRPr="00F002C1">
        <w:rPr>
          <w:rFonts w:ascii="Arial" w:hAnsi="Arial" w:cs="Arial"/>
          <w:color w:val="000000" w:themeColor="text1"/>
          <w:sz w:val="24"/>
          <w:szCs w:val="24"/>
        </w:rPr>
        <w:t>3</w:t>
      </w:r>
      <w:r w:rsidRPr="00F002C1">
        <w:rPr>
          <w:rFonts w:ascii="Arial" w:hAnsi="Arial" w:cs="Arial"/>
          <w:color w:val="000000" w:themeColor="text1"/>
          <w:sz w:val="24"/>
          <w:szCs w:val="24"/>
        </w:rPr>
        <w:t xml:space="preserve">–2025 (dále jen Akční plán) úzce </w:t>
      </w:r>
      <w:r w:rsidRPr="00F002C1">
        <w:rPr>
          <w:rFonts w:ascii="Arial" w:hAnsi="Arial" w:cs="Arial"/>
          <w:b/>
          <w:bCs/>
          <w:color w:val="000000" w:themeColor="text1"/>
          <w:sz w:val="24"/>
          <w:szCs w:val="24"/>
        </w:rPr>
        <w:t>navazuje na Strategický rámec přípravy na stárnutí společnosti 2021-2025</w:t>
      </w:r>
      <w:r w:rsidR="005F4BD2" w:rsidRPr="00F002C1">
        <w:rPr>
          <w:rFonts w:ascii="Arial" w:hAnsi="Arial" w:cs="Arial"/>
          <w:b/>
          <w:bCs/>
          <w:color w:val="000000" w:themeColor="text1"/>
          <w:sz w:val="24"/>
          <w:szCs w:val="24"/>
        </w:rPr>
        <w:t xml:space="preserve"> (dále jen Strategický rámec</w:t>
      </w:r>
      <w:r w:rsidR="005F4BD2" w:rsidRPr="00F002C1">
        <w:rPr>
          <w:rFonts w:ascii="Arial" w:hAnsi="Arial" w:cs="Arial"/>
          <w:b/>
          <w:bCs/>
          <w:i/>
          <w:iCs/>
          <w:color w:val="000000" w:themeColor="text1"/>
          <w:sz w:val="24"/>
          <w:szCs w:val="24"/>
        </w:rPr>
        <w:t>)</w:t>
      </w:r>
      <w:r w:rsidR="005F4BD2" w:rsidRPr="00F002C1">
        <w:rPr>
          <w:rStyle w:val="Znakapoznpodarou"/>
          <w:rFonts w:ascii="Arial" w:hAnsi="Arial" w:cs="Arial"/>
          <w:color w:val="000000" w:themeColor="text1"/>
          <w:sz w:val="24"/>
          <w:szCs w:val="24"/>
        </w:rPr>
        <w:footnoteReference w:id="2"/>
      </w:r>
      <w:r w:rsidRPr="00F002C1">
        <w:rPr>
          <w:rFonts w:ascii="Arial" w:hAnsi="Arial" w:cs="Arial"/>
          <w:color w:val="000000" w:themeColor="text1"/>
          <w:sz w:val="24"/>
          <w:szCs w:val="24"/>
        </w:rPr>
        <w:t>, dále</w:t>
      </w:r>
      <w:r w:rsidRPr="00F002C1">
        <w:rPr>
          <w:rFonts w:ascii="Arial" w:hAnsi="Arial" w:cs="Arial"/>
          <w:b/>
          <w:bCs/>
          <w:color w:val="000000" w:themeColor="text1"/>
          <w:sz w:val="24"/>
          <w:szCs w:val="24"/>
        </w:rPr>
        <w:t xml:space="preserve"> jej </w:t>
      </w:r>
      <w:r w:rsidR="000A05B7" w:rsidRPr="00F002C1">
        <w:rPr>
          <w:rFonts w:ascii="Arial" w:hAnsi="Arial" w:cs="Arial"/>
          <w:b/>
          <w:bCs/>
          <w:color w:val="000000" w:themeColor="text1"/>
          <w:sz w:val="24"/>
          <w:szCs w:val="24"/>
        </w:rPr>
        <w:t xml:space="preserve">aktualizuje a </w:t>
      </w:r>
      <w:r w:rsidRPr="00F002C1">
        <w:rPr>
          <w:rFonts w:ascii="Arial" w:hAnsi="Arial" w:cs="Arial"/>
          <w:b/>
          <w:bCs/>
          <w:color w:val="000000" w:themeColor="text1"/>
          <w:sz w:val="24"/>
          <w:szCs w:val="24"/>
        </w:rPr>
        <w:t>rozpracovává</w:t>
      </w:r>
      <w:r w:rsidRPr="00F002C1">
        <w:rPr>
          <w:rFonts w:ascii="Arial" w:hAnsi="Arial" w:cs="Arial"/>
          <w:color w:val="000000" w:themeColor="text1"/>
          <w:sz w:val="24"/>
          <w:szCs w:val="24"/>
        </w:rPr>
        <w:t xml:space="preserve"> v souvislosti s nově vyvstalými výzvami i potřebami společnosti. </w:t>
      </w:r>
    </w:p>
    <w:p w14:paraId="6DB6DBE6" w14:textId="77777777" w:rsidR="000A05B7" w:rsidRPr="00F002C1" w:rsidRDefault="000A05B7" w:rsidP="001D658C">
      <w:pPr>
        <w:pStyle w:val="Odstavecseseznamem"/>
        <w:numPr>
          <w:ilvl w:val="0"/>
          <w:numId w:val="9"/>
        </w:numPr>
        <w:spacing w:line="360" w:lineRule="auto"/>
        <w:ind w:left="284" w:hanging="284"/>
        <w:jc w:val="both"/>
        <w:rPr>
          <w:rFonts w:ascii="Arial" w:hAnsi="Arial" w:cs="Arial"/>
          <w:color w:val="000000" w:themeColor="text1"/>
          <w:sz w:val="24"/>
          <w:szCs w:val="24"/>
        </w:rPr>
      </w:pPr>
      <w:r w:rsidRPr="00F002C1">
        <w:rPr>
          <w:rFonts w:ascii="Arial" w:hAnsi="Arial" w:cs="Arial"/>
          <w:color w:val="000000" w:themeColor="text1"/>
          <w:sz w:val="24"/>
          <w:szCs w:val="24"/>
        </w:rPr>
        <w:t xml:space="preserve">Vize Akčního plánu je postavena na pěti pilířích politiky příprav na stárnutí. První pilíř představuje participace, druhý zdraví a péče, třetí bezpečí, čtvrtý </w:t>
      </w:r>
      <w:proofErr w:type="spellStart"/>
      <w:r w:rsidRPr="00F002C1">
        <w:rPr>
          <w:rFonts w:ascii="Arial" w:hAnsi="Arial" w:cs="Arial"/>
          <w:color w:val="000000" w:themeColor="text1"/>
          <w:sz w:val="24"/>
          <w:szCs w:val="24"/>
        </w:rPr>
        <w:t>resilience</w:t>
      </w:r>
      <w:proofErr w:type="spellEnd"/>
      <w:r w:rsidRPr="00F002C1">
        <w:rPr>
          <w:rFonts w:ascii="Arial" w:hAnsi="Arial" w:cs="Arial"/>
          <w:color w:val="000000" w:themeColor="text1"/>
          <w:sz w:val="24"/>
          <w:szCs w:val="24"/>
        </w:rPr>
        <w:t xml:space="preserve">/odolnost a pátý pilíř představuje rozvoj. </w:t>
      </w:r>
    </w:p>
    <w:p w14:paraId="500FFD9E" w14:textId="0CA38441" w:rsidR="00F002C1" w:rsidRPr="00DF16D7" w:rsidRDefault="00215199" w:rsidP="001D658C">
      <w:pPr>
        <w:pStyle w:val="Odstavecseseznamem"/>
        <w:numPr>
          <w:ilvl w:val="0"/>
          <w:numId w:val="9"/>
        </w:numPr>
        <w:spacing w:line="360" w:lineRule="auto"/>
        <w:ind w:left="284" w:hanging="284"/>
        <w:jc w:val="both"/>
        <w:rPr>
          <w:rFonts w:ascii="Arial" w:hAnsi="Arial" w:cs="Arial"/>
          <w:strike/>
          <w:color w:val="000000" w:themeColor="text1"/>
          <w:sz w:val="24"/>
          <w:szCs w:val="24"/>
        </w:rPr>
      </w:pPr>
      <w:r w:rsidRPr="00F002C1">
        <w:rPr>
          <w:rFonts w:ascii="Arial" w:hAnsi="Arial" w:cs="Arial"/>
          <w:color w:val="000000" w:themeColor="text1"/>
          <w:sz w:val="24"/>
          <w:szCs w:val="24"/>
        </w:rPr>
        <w:t xml:space="preserve">Akční plán </w:t>
      </w:r>
      <w:r w:rsidR="000A05B7" w:rsidRPr="00F002C1">
        <w:rPr>
          <w:rFonts w:ascii="Arial" w:hAnsi="Arial" w:cs="Arial"/>
          <w:b/>
          <w:bCs/>
          <w:color w:val="000000" w:themeColor="text1"/>
          <w:sz w:val="24"/>
          <w:szCs w:val="24"/>
        </w:rPr>
        <w:t xml:space="preserve">se opírá </w:t>
      </w:r>
      <w:r w:rsidRPr="00F002C1">
        <w:rPr>
          <w:rFonts w:ascii="Arial" w:hAnsi="Arial" w:cs="Arial"/>
          <w:b/>
          <w:bCs/>
          <w:color w:val="000000" w:themeColor="text1"/>
          <w:sz w:val="24"/>
          <w:szCs w:val="24"/>
        </w:rPr>
        <w:t>o principy udržitelného rozvoje společnosti</w:t>
      </w:r>
      <w:r w:rsidR="000A05B7" w:rsidRPr="00F002C1">
        <w:rPr>
          <w:rFonts w:ascii="Arial" w:hAnsi="Arial" w:cs="Arial"/>
          <w:color w:val="000000" w:themeColor="text1"/>
          <w:sz w:val="24"/>
          <w:szCs w:val="24"/>
        </w:rPr>
        <w:t>,</w:t>
      </w:r>
      <w:r w:rsidRPr="00F002C1">
        <w:rPr>
          <w:rFonts w:ascii="Arial" w:hAnsi="Arial" w:cs="Arial"/>
          <w:color w:val="000000" w:themeColor="text1"/>
          <w:sz w:val="24"/>
          <w:szCs w:val="24"/>
        </w:rPr>
        <w:t xml:space="preserve"> </w:t>
      </w:r>
      <w:r w:rsidRPr="00F002C1">
        <w:rPr>
          <w:rFonts w:ascii="Arial" w:hAnsi="Arial" w:cs="Arial"/>
          <w:b/>
          <w:bCs/>
          <w:color w:val="000000" w:themeColor="text1"/>
          <w:sz w:val="24"/>
          <w:szCs w:val="24"/>
        </w:rPr>
        <w:t>mezigenerační soudržnost</w:t>
      </w:r>
      <w:r w:rsidRPr="00F002C1">
        <w:rPr>
          <w:rFonts w:ascii="Arial" w:hAnsi="Arial" w:cs="Arial"/>
          <w:color w:val="000000" w:themeColor="text1"/>
          <w:sz w:val="24"/>
          <w:szCs w:val="24"/>
        </w:rPr>
        <w:t xml:space="preserve"> a klade </w:t>
      </w:r>
      <w:r w:rsidRPr="00F002C1">
        <w:rPr>
          <w:rFonts w:ascii="Arial" w:hAnsi="Arial" w:cs="Arial"/>
          <w:b/>
          <w:bCs/>
          <w:color w:val="000000" w:themeColor="text1"/>
          <w:sz w:val="24"/>
          <w:szCs w:val="24"/>
        </w:rPr>
        <w:t xml:space="preserve">důraz na </w:t>
      </w:r>
      <w:r w:rsidR="00FD7034">
        <w:rPr>
          <w:rFonts w:ascii="Arial" w:hAnsi="Arial" w:cs="Arial"/>
          <w:b/>
          <w:bCs/>
          <w:color w:val="000000" w:themeColor="text1"/>
          <w:sz w:val="24"/>
          <w:szCs w:val="24"/>
        </w:rPr>
        <w:t xml:space="preserve">spolupráci všech aktérů a </w:t>
      </w:r>
      <w:r w:rsidRPr="00F002C1">
        <w:rPr>
          <w:rFonts w:ascii="Arial" w:hAnsi="Arial" w:cs="Arial"/>
          <w:b/>
          <w:bCs/>
          <w:color w:val="000000" w:themeColor="text1"/>
          <w:sz w:val="24"/>
          <w:szCs w:val="24"/>
        </w:rPr>
        <w:t>aktivní přístup k</w:t>
      </w:r>
      <w:r w:rsidR="000A05B7" w:rsidRPr="00F002C1">
        <w:rPr>
          <w:rFonts w:ascii="Arial" w:hAnsi="Arial" w:cs="Arial"/>
          <w:b/>
          <w:bCs/>
          <w:color w:val="000000" w:themeColor="text1"/>
          <w:sz w:val="24"/>
          <w:szCs w:val="24"/>
        </w:rPr>
        <w:t> </w:t>
      </w:r>
      <w:r w:rsidRPr="00F002C1">
        <w:rPr>
          <w:rFonts w:ascii="Arial" w:hAnsi="Arial" w:cs="Arial"/>
          <w:b/>
          <w:bCs/>
          <w:color w:val="000000" w:themeColor="text1"/>
          <w:sz w:val="24"/>
          <w:szCs w:val="24"/>
        </w:rPr>
        <w:t>životu</w:t>
      </w:r>
      <w:r w:rsidR="000A05B7" w:rsidRPr="00F002C1">
        <w:rPr>
          <w:rFonts w:ascii="Arial" w:hAnsi="Arial" w:cs="Arial"/>
          <w:color w:val="000000" w:themeColor="text1"/>
          <w:sz w:val="24"/>
          <w:szCs w:val="24"/>
        </w:rPr>
        <w:t xml:space="preserve"> a</w:t>
      </w:r>
      <w:r w:rsidRPr="00F002C1">
        <w:rPr>
          <w:rFonts w:ascii="Arial" w:hAnsi="Arial" w:cs="Arial"/>
          <w:color w:val="000000" w:themeColor="text1"/>
          <w:sz w:val="24"/>
          <w:szCs w:val="24"/>
        </w:rPr>
        <w:t xml:space="preserve"> zapoj</w:t>
      </w:r>
      <w:r w:rsidR="000A05B7" w:rsidRPr="00F002C1">
        <w:rPr>
          <w:rFonts w:ascii="Arial" w:hAnsi="Arial" w:cs="Arial"/>
          <w:color w:val="000000" w:themeColor="text1"/>
          <w:sz w:val="24"/>
          <w:szCs w:val="24"/>
        </w:rPr>
        <w:t>ová</w:t>
      </w:r>
      <w:r w:rsidRPr="00F002C1">
        <w:rPr>
          <w:rFonts w:ascii="Arial" w:hAnsi="Arial" w:cs="Arial"/>
          <w:color w:val="000000" w:themeColor="text1"/>
          <w:sz w:val="24"/>
          <w:szCs w:val="24"/>
        </w:rPr>
        <w:t>ní se do společnosti</w:t>
      </w:r>
      <w:r w:rsidR="000A05B7" w:rsidRPr="00F002C1">
        <w:rPr>
          <w:rFonts w:ascii="Arial" w:hAnsi="Arial" w:cs="Arial"/>
          <w:color w:val="000000" w:themeColor="text1"/>
          <w:sz w:val="24"/>
          <w:szCs w:val="24"/>
        </w:rPr>
        <w:t>.</w:t>
      </w:r>
      <w:r w:rsidRPr="00F002C1">
        <w:rPr>
          <w:rFonts w:ascii="Arial" w:hAnsi="Arial" w:cs="Arial"/>
          <w:color w:val="000000" w:themeColor="text1"/>
          <w:sz w:val="24"/>
          <w:szCs w:val="24"/>
        </w:rPr>
        <w:t xml:space="preserve"> </w:t>
      </w:r>
    </w:p>
    <w:p w14:paraId="7D110C2B" w14:textId="77777777" w:rsidR="00DF16D7" w:rsidRPr="00DF16D7" w:rsidRDefault="00DF16D7" w:rsidP="00DF16D7">
      <w:pPr>
        <w:pStyle w:val="Odstavecseseznamem"/>
        <w:numPr>
          <w:ilvl w:val="0"/>
          <w:numId w:val="9"/>
        </w:numPr>
        <w:spacing w:line="360" w:lineRule="auto"/>
        <w:ind w:left="284" w:hanging="284"/>
        <w:jc w:val="both"/>
        <w:rPr>
          <w:rFonts w:ascii="Arial" w:hAnsi="Arial" w:cs="Arial"/>
          <w:b/>
          <w:sz w:val="24"/>
        </w:rPr>
      </w:pPr>
      <w:r>
        <w:rPr>
          <w:rFonts w:ascii="Arial" w:hAnsi="Arial" w:cs="Arial"/>
          <w:bCs/>
          <w:sz w:val="24"/>
        </w:rPr>
        <w:t xml:space="preserve">Akční plán reaguje na aktuální proměny ve společnosti </w:t>
      </w:r>
      <w:r w:rsidRPr="00691223">
        <w:rPr>
          <w:rFonts w:ascii="Arial" w:hAnsi="Arial" w:cs="Arial"/>
          <w:bCs/>
          <w:sz w:val="24"/>
        </w:rPr>
        <w:t xml:space="preserve">– rodí se méně dětí a stále se prodlužuje délka dožití. Zvyšuje se tak podíl starších lidí v populaci a společnost stárne, stejně jako ve většině zemí vyspělého světa. </w:t>
      </w:r>
      <w:r w:rsidRPr="00DF16D7">
        <w:rPr>
          <w:rFonts w:ascii="Arial" w:hAnsi="Arial" w:cs="Arial"/>
          <w:b/>
          <w:sz w:val="24"/>
        </w:rPr>
        <w:t>V současné době jsou v ČR 2, 132 miliony seniorů nad 65 let věku (tedy přibližně pětina), z toho 898 tisíc mužů a 1,234 milionu žen. V roce 2022 bylo ve věkové kategorii 65+ více než 20 % obyvatel, v roce 2025 to bude 22,3 % a v roce 2050 již 29 % (téměř každý třetí).</w:t>
      </w:r>
    </w:p>
    <w:p w14:paraId="781577AB" w14:textId="32A509D9" w:rsidR="00DF16D7" w:rsidRPr="00DF16D7" w:rsidRDefault="00DF16D7" w:rsidP="00DF16D7">
      <w:pPr>
        <w:pStyle w:val="Odstavecseseznamem"/>
        <w:numPr>
          <w:ilvl w:val="0"/>
          <w:numId w:val="9"/>
        </w:numPr>
        <w:spacing w:line="360" w:lineRule="auto"/>
        <w:ind w:left="284" w:hanging="284"/>
        <w:jc w:val="both"/>
        <w:rPr>
          <w:rFonts w:ascii="Arial" w:hAnsi="Arial" w:cs="Arial"/>
          <w:bCs/>
          <w:sz w:val="24"/>
        </w:rPr>
      </w:pPr>
      <w:r w:rsidRPr="00DF16D7">
        <w:rPr>
          <w:rFonts w:ascii="Arial" w:hAnsi="Arial" w:cs="Arial"/>
          <w:bCs/>
          <w:sz w:val="24"/>
        </w:rPr>
        <w:t xml:space="preserve">Stárnutí společnosti je </w:t>
      </w:r>
      <w:r w:rsidRPr="00DF16D7">
        <w:rPr>
          <w:rFonts w:ascii="Arial" w:hAnsi="Arial" w:cs="Arial"/>
          <w:b/>
          <w:sz w:val="24"/>
        </w:rPr>
        <w:t>celospolečenský fenomén</w:t>
      </w:r>
      <w:r w:rsidRPr="00DF16D7">
        <w:rPr>
          <w:rFonts w:ascii="Arial" w:hAnsi="Arial" w:cs="Arial"/>
          <w:bCs/>
          <w:sz w:val="24"/>
        </w:rPr>
        <w:t xml:space="preserve">, který vyžaduje změnu v chápání toho, kdo je to senior. </w:t>
      </w:r>
      <w:r w:rsidRPr="00DF16D7">
        <w:rPr>
          <w:rFonts w:ascii="Arial" w:hAnsi="Arial" w:cs="Arial"/>
          <w:b/>
          <w:sz w:val="24"/>
        </w:rPr>
        <w:t>Představy, které máme o stárnutí a lidech od určitého věku, jsou často zastaralé a nerespektují fakt, že dnešní senioři představují velmi heterogenní skupinu</w:t>
      </w:r>
      <w:r w:rsidRPr="00DF16D7">
        <w:rPr>
          <w:rFonts w:ascii="Arial" w:hAnsi="Arial" w:cs="Arial"/>
          <w:bCs/>
          <w:sz w:val="24"/>
        </w:rPr>
        <w:t xml:space="preserve"> čítající více než dva miliony osob, a její různorodost do budoucna ještě posílí. </w:t>
      </w:r>
    </w:p>
    <w:p w14:paraId="457AEA40" w14:textId="77777777" w:rsidR="00DF16D7" w:rsidRDefault="00DF16D7" w:rsidP="00DF16D7">
      <w:pPr>
        <w:pStyle w:val="Odstavecseseznamem"/>
        <w:numPr>
          <w:ilvl w:val="0"/>
          <w:numId w:val="9"/>
        </w:numPr>
        <w:spacing w:line="360" w:lineRule="auto"/>
        <w:ind w:left="284" w:hanging="284"/>
        <w:jc w:val="both"/>
        <w:rPr>
          <w:rFonts w:ascii="Arial" w:hAnsi="Arial" w:cs="Arial"/>
          <w:bCs/>
          <w:sz w:val="24"/>
        </w:rPr>
      </w:pPr>
      <w:r w:rsidRPr="00DF16D7">
        <w:rPr>
          <w:rFonts w:ascii="Arial" w:hAnsi="Arial" w:cs="Arial"/>
          <w:b/>
          <w:sz w:val="24"/>
        </w:rPr>
        <w:t>Demografický vývoj vyžaduje daleko širší změny</w:t>
      </w:r>
      <w:r w:rsidRPr="00DF16D7">
        <w:rPr>
          <w:rFonts w:ascii="Arial" w:hAnsi="Arial" w:cs="Arial"/>
          <w:bCs/>
          <w:sz w:val="24"/>
        </w:rPr>
        <w:t xml:space="preserve"> v oblasti příjmů státního rozpočtu, státní správy, stabilně dostupného bydlení, financování a kvality a místní a časové dostupnosti sociální a zdravotní péče, celoživotního vzdělávání, </w:t>
      </w:r>
      <w:r w:rsidRPr="00DF16D7">
        <w:rPr>
          <w:rFonts w:ascii="Arial" w:hAnsi="Arial" w:cs="Arial"/>
          <w:bCs/>
          <w:sz w:val="24"/>
        </w:rPr>
        <w:lastRenderedPageBreak/>
        <w:t xml:space="preserve">zaměstnanosti, ocenění a odměňování práce v sociálních službách, ochrany práv seniorů či fungování veřejného prostoru (zejména v kontextu jeho bezbariérovosti). </w:t>
      </w:r>
    </w:p>
    <w:p w14:paraId="007797E9" w14:textId="49225746" w:rsidR="00DF16D7" w:rsidRPr="00DF16D7" w:rsidRDefault="00DF16D7" w:rsidP="00DF16D7">
      <w:pPr>
        <w:pStyle w:val="Odstavecseseznamem"/>
        <w:numPr>
          <w:ilvl w:val="0"/>
          <w:numId w:val="9"/>
        </w:numPr>
        <w:spacing w:line="360" w:lineRule="auto"/>
        <w:ind w:left="284" w:hanging="284"/>
        <w:jc w:val="both"/>
        <w:rPr>
          <w:rFonts w:ascii="Arial" w:hAnsi="Arial" w:cs="Arial"/>
          <w:bCs/>
          <w:sz w:val="24"/>
        </w:rPr>
      </w:pPr>
      <w:r w:rsidRPr="00DF16D7">
        <w:rPr>
          <w:rFonts w:ascii="Arial" w:hAnsi="Arial" w:cs="Arial"/>
          <w:bCs/>
          <w:sz w:val="24"/>
        </w:rPr>
        <w:t xml:space="preserve">V neposlední řadě musí být </w:t>
      </w:r>
      <w:r w:rsidRPr="00DF16D7">
        <w:rPr>
          <w:rFonts w:ascii="Arial" w:hAnsi="Arial" w:cs="Arial"/>
          <w:b/>
          <w:sz w:val="24"/>
        </w:rPr>
        <w:t>zřejmá nutnost včasné přípravy na stárnutí, která by měla rovněž zahrnovat vytváření podmínek pro osobní aktivitu ve stáří, občanskou angažovanost a dobrovolnictví směrem k seniorům,</w:t>
      </w:r>
      <w:r w:rsidRPr="00DF16D7">
        <w:rPr>
          <w:rFonts w:ascii="Arial" w:hAnsi="Arial" w:cs="Arial"/>
          <w:bCs/>
          <w:sz w:val="24"/>
        </w:rPr>
        <w:t xml:space="preserve"> ale také seniorů samotných či rozvoj </w:t>
      </w:r>
      <w:r w:rsidRPr="00DF16D7">
        <w:rPr>
          <w:rFonts w:ascii="Arial" w:hAnsi="Arial" w:cs="Arial"/>
          <w:b/>
          <w:sz w:val="24"/>
        </w:rPr>
        <w:t>kvalitních mezilidských a rodinných vztahů obecně</w:t>
      </w:r>
      <w:r w:rsidRPr="00DF16D7">
        <w:rPr>
          <w:rFonts w:ascii="Arial" w:hAnsi="Arial" w:cs="Arial"/>
          <w:bCs/>
          <w:sz w:val="24"/>
        </w:rPr>
        <w:t xml:space="preserve">. </w:t>
      </w:r>
    </w:p>
    <w:p w14:paraId="070B8377" w14:textId="77777777" w:rsidR="00DF16D7" w:rsidRPr="00DF16D7" w:rsidRDefault="00DF16D7" w:rsidP="00DF16D7">
      <w:pPr>
        <w:pStyle w:val="Odstavecseseznamem"/>
        <w:numPr>
          <w:ilvl w:val="0"/>
          <w:numId w:val="9"/>
        </w:numPr>
        <w:spacing w:line="360" w:lineRule="auto"/>
        <w:ind w:left="284" w:hanging="284"/>
        <w:jc w:val="both"/>
        <w:rPr>
          <w:rFonts w:ascii="Arial" w:hAnsi="Arial" w:cs="Arial"/>
          <w:sz w:val="24"/>
          <w:szCs w:val="24"/>
        </w:rPr>
      </w:pPr>
      <w:r w:rsidRPr="00DF16D7">
        <w:rPr>
          <w:rFonts w:ascii="Arial" w:hAnsi="Arial" w:cs="Arial"/>
          <w:bCs/>
          <w:sz w:val="24"/>
        </w:rPr>
        <w:t xml:space="preserve">Jak bylo uvedeno výše politika stárnutí populace vyžaduje </w:t>
      </w:r>
      <w:r w:rsidRPr="00DF16D7">
        <w:rPr>
          <w:rFonts w:ascii="Arial" w:hAnsi="Arial" w:cs="Arial"/>
          <w:b/>
          <w:sz w:val="24"/>
        </w:rPr>
        <w:t>interdisciplinární, mezioborovou a mezirezortní diskusi vedoucí k</w:t>
      </w:r>
      <w:r w:rsidRPr="00DF16D7">
        <w:rPr>
          <w:rFonts w:ascii="Arial" w:hAnsi="Arial" w:cs="Arial"/>
          <w:bCs/>
          <w:sz w:val="24"/>
        </w:rPr>
        <w:t> nalezení nejlepšího řešení, dotýká se tak řady aktérů.</w:t>
      </w:r>
      <w:r w:rsidRPr="00DF16D7">
        <w:rPr>
          <w:rFonts w:ascii="Arial" w:hAnsi="Arial" w:cs="Arial"/>
          <w:sz w:val="24"/>
          <w:szCs w:val="24"/>
        </w:rPr>
        <w:t xml:space="preserve">      </w:t>
      </w:r>
    </w:p>
    <w:p w14:paraId="2874D942" w14:textId="77777777" w:rsidR="00F002C1" w:rsidRPr="00DF16D7" w:rsidRDefault="00C43A34" w:rsidP="00DF16D7">
      <w:pPr>
        <w:pStyle w:val="Odstavecseseznamem"/>
        <w:numPr>
          <w:ilvl w:val="0"/>
          <w:numId w:val="9"/>
        </w:numPr>
        <w:spacing w:line="360" w:lineRule="auto"/>
        <w:ind w:left="284" w:hanging="284"/>
        <w:jc w:val="both"/>
        <w:rPr>
          <w:rFonts w:ascii="Arial" w:hAnsi="Arial" w:cs="Arial"/>
          <w:color w:val="000000" w:themeColor="text1"/>
          <w:sz w:val="24"/>
          <w:szCs w:val="24"/>
        </w:rPr>
      </w:pPr>
      <w:r w:rsidRPr="00F002C1">
        <w:rPr>
          <w:rFonts w:ascii="Arial" w:hAnsi="Arial" w:cs="Arial"/>
          <w:color w:val="000000" w:themeColor="text1"/>
          <w:sz w:val="24"/>
          <w:szCs w:val="24"/>
        </w:rPr>
        <w:t>Vize je dále konkretizována formou globálních cílů, které jsou dále rozpracovány do podoby hlavních cílů a následně také do strategických a specifických cílů, včetně konkrétních opatření</w:t>
      </w:r>
      <w:r w:rsidR="00383BCB" w:rsidRPr="00F002C1">
        <w:rPr>
          <w:rFonts w:ascii="Arial" w:hAnsi="Arial" w:cs="Arial"/>
          <w:color w:val="000000" w:themeColor="text1"/>
          <w:sz w:val="24"/>
          <w:szCs w:val="24"/>
        </w:rPr>
        <w:t xml:space="preserve"> (viz návrhová část dokumentu)</w:t>
      </w:r>
      <w:r w:rsidRPr="00F002C1">
        <w:rPr>
          <w:rFonts w:ascii="Arial" w:hAnsi="Arial" w:cs="Arial"/>
          <w:color w:val="000000" w:themeColor="text1"/>
          <w:sz w:val="24"/>
          <w:szCs w:val="24"/>
        </w:rPr>
        <w:t>.</w:t>
      </w:r>
      <w:r w:rsidR="00F002C1">
        <w:rPr>
          <w:rFonts w:ascii="Arial" w:hAnsi="Arial" w:cs="Arial"/>
          <w:color w:val="000000" w:themeColor="text1"/>
          <w:sz w:val="24"/>
          <w:szCs w:val="24"/>
        </w:rPr>
        <w:t xml:space="preserve"> </w:t>
      </w:r>
    </w:p>
    <w:p w14:paraId="46EBA980" w14:textId="702076A7" w:rsidR="00D07C72" w:rsidRPr="00F002C1" w:rsidRDefault="00D07C72" w:rsidP="00F002C1">
      <w:pPr>
        <w:pStyle w:val="Odstavecseseznamem"/>
        <w:spacing w:line="240" w:lineRule="auto"/>
        <w:ind w:left="284"/>
        <w:jc w:val="both"/>
        <w:rPr>
          <w:rFonts w:ascii="Arial" w:hAnsi="Arial" w:cs="Arial"/>
          <w:strike/>
          <w:color w:val="000000" w:themeColor="text1"/>
          <w:sz w:val="24"/>
          <w:szCs w:val="24"/>
        </w:rPr>
      </w:pPr>
      <w:r w:rsidRPr="00F002C1">
        <w:rPr>
          <w:rFonts w:ascii="Arial" w:hAnsi="Arial" w:cs="Arial"/>
          <w:b/>
          <w:bCs/>
          <w:sz w:val="24"/>
          <w:szCs w:val="24"/>
        </w:rPr>
        <w:t>Globální cíle:</w:t>
      </w:r>
    </w:p>
    <w:p w14:paraId="59D2750E" w14:textId="77777777" w:rsidR="00D07C72" w:rsidRPr="00DF16D7" w:rsidRDefault="00D07C72" w:rsidP="00DF16D7">
      <w:pPr>
        <w:pStyle w:val="Odstavecseseznamem"/>
        <w:numPr>
          <w:ilvl w:val="0"/>
          <w:numId w:val="30"/>
        </w:numPr>
        <w:spacing w:line="360" w:lineRule="auto"/>
        <w:jc w:val="both"/>
        <w:rPr>
          <w:rFonts w:ascii="Arial" w:hAnsi="Arial" w:cs="Arial"/>
          <w:color w:val="000000" w:themeColor="text1"/>
          <w:sz w:val="24"/>
          <w:szCs w:val="24"/>
        </w:rPr>
      </w:pPr>
      <w:r w:rsidRPr="00DF16D7">
        <w:rPr>
          <w:rFonts w:ascii="Arial" w:hAnsi="Arial" w:cs="Arial"/>
          <w:color w:val="000000" w:themeColor="text1"/>
          <w:sz w:val="24"/>
          <w:szCs w:val="24"/>
        </w:rPr>
        <w:t>Spolupráce státu se všemi aktéry jako základ odolné společnosti</w:t>
      </w:r>
    </w:p>
    <w:p w14:paraId="79E186F4" w14:textId="77777777" w:rsidR="00D07C72" w:rsidRPr="00DF16D7" w:rsidRDefault="00D07C72" w:rsidP="00DF16D7">
      <w:pPr>
        <w:pStyle w:val="Odstavecseseznamem"/>
        <w:numPr>
          <w:ilvl w:val="0"/>
          <w:numId w:val="30"/>
        </w:numPr>
        <w:spacing w:line="360" w:lineRule="auto"/>
        <w:jc w:val="both"/>
        <w:rPr>
          <w:rFonts w:ascii="Arial" w:hAnsi="Arial" w:cs="Arial"/>
          <w:color w:val="000000" w:themeColor="text1"/>
          <w:sz w:val="24"/>
          <w:szCs w:val="24"/>
        </w:rPr>
      </w:pPr>
      <w:r w:rsidRPr="00DF16D7">
        <w:rPr>
          <w:rFonts w:ascii="Arial" w:hAnsi="Arial" w:cs="Arial"/>
          <w:color w:val="000000" w:themeColor="text1"/>
          <w:sz w:val="24"/>
          <w:szCs w:val="24"/>
        </w:rPr>
        <w:t xml:space="preserve">Aktivní osobní </w:t>
      </w:r>
      <w:proofErr w:type="spellStart"/>
      <w:r w:rsidRPr="00DF16D7">
        <w:rPr>
          <w:rFonts w:ascii="Arial" w:hAnsi="Arial" w:cs="Arial"/>
          <w:color w:val="000000" w:themeColor="text1"/>
          <w:sz w:val="24"/>
          <w:szCs w:val="24"/>
        </w:rPr>
        <w:t>age</w:t>
      </w:r>
      <w:proofErr w:type="spellEnd"/>
      <w:r w:rsidRPr="00DF16D7">
        <w:rPr>
          <w:rFonts w:ascii="Arial" w:hAnsi="Arial" w:cs="Arial"/>
          <w:color w:val="000000" w:themeColor="text1"/>
          <w:sz w:val="24"/>
          <w:szCs w:val="24"/>
        </w:rPr>
        <w:t>–management a role zaměstnavatelů</w:t>
      </w:r>
    </w:p>
    <w:p w14:paraId="5C033BEB" w14:textId="77777777" w:rsidR="00D07C72" w:rsidRPr="00DF16D7" w:rsidRDefault="00D07C72" w:rsidP="00DF16D7">
      <w:pPr>
        <w:pStyle w:val="Odstavecseseznamem"/>
        <w:numPr>
          <w:ilvl w:val="0"/>
          <w:numId w:val="30"/>
        </w:numPr>
        <w:spacing w:line="360" w:lineRule="auto"/>
        <w:jc w:val="both"/>
        <w:rPr>
          <w:rFonts w:ascii="Arial" w:hAnsi="Arial" w:cs="Arial"/>
          <w:color w:val="000000" w:themeColor="text1"/>
          <w:sz w:val="24"/>
          <w:szCs w:val="24"/>
        </w:rPr>
      </w:pPr>
      <w:r w:rsidRPr="00DF16D7">
        <w:rPr>
          <w:rFonts w:ascii="Arial" w:hAnsi="Arial" w:cs="Arial"/>
          <w:color w:val="000000" w:themeColor="text1"/>
          <w:sz w:val="24"/>
          <w:szCs w:val="24"/>
        </w:rPr>
        <w:t>Důstojné stáří a kvalita života</w:t>
      </w:r>
    </w:p>
    <w:p w14:paraId="031E9B30" w14:textId="79BE7A52" w:rsidR="00D07C72" w:rsidRPr="00F002C1" w:rsidRDefault="00D07C72" w:rsidP="00D07C72">
      <w:pPr>
        <w:rPr>
          <w:rFonts w:ascii="Arial" w:hAnsi="Arial" w:cs="Arial"/>
          <w:sz w:val="24"/>
          <w:szCs w:val="24"/>
        </w:rPr>
      </w:pPr>
    </w:p>
    <w:p w14:paraId="513FDFE2" w14:textId="4CB25CFE" w:rsidR="00F002C1" w:rsidRDefault="00F002C1" w:rsidP="00D07C72">
      <w:pPr>
        <w:rPr>
          <w:rFonts w:ascii="Arial" w:hAnsi="Arial" w:cs="Arial"/>
          <w:sz w:val="24"/>
          <w:szCs w:val="24"/>
        </w:rPr>
      </w:pPr>
    </w:p>
    <w:p w14:paraId="71A64DDE" w14:textId="2E129793" w:rsidR="004D21BE" w:rsidRPr="00F002C1" w:rsidRDefault="00DF16D7" w:rsidP="00D07C72">
      <w:pPr>
        <w:rPr>
          <w:rFonts w:ascii="Arial" w:hAnsi="Arial" w:cs="Arial"/>
          <w:sz w:val="24"/>
          <w:szCs w:val="24"/>
        </w:rPr>
      </w:pPr>
      <w:r>
        <w:rPr>
          <w:rFonts w:ascii="Arial" w:hAnsi="Arial" w:cs="Arial"/>
          <w:sz w:val="24"/>
          <w:szCs w:val="24"/>
          <w:highlight w:val="yellow"/>
        </w:rPr>
        <w:t>Bude zpracováno dle finálního odsouhlasení do g</w:t>
      </w:r>
      <w:r w:rsidR="004D21BE" w:rsidRPr="004D21BE">
        <w:rPr>
          <w:rFonts w:ascii="Arial" w:hAnsi="Arial" w:cs="Arial"/>
          <w:sz w:val="24"/>
          <w:szCs w:val="24"/>
          <w:highlight w:val="yellow"/>
        </w:rPr>
        <w:t>rafické</w:t>
      </w:r>
      <w:r>
        <w:rPr>
          <w:rFonts w:ascii="Arial" w:hAnsi="Arial" w:cs="Arial"/>
          <w:sz w:val="24"/>
          <w:szCs w:val="24"/>
          <w:highlight w:val="yellow"/>
        </w:rPr>
        <w:t>ho</w:t>
      </w:r>
      <w:r w:rsidR="004D21BE" w:rsidRPr="004D21BE">
        <w:rPr>
          <w:rFonts w:ascii="Arial" w:hAnsi="Arial" w:cs="Arial"/>
          <w:sz w:val="24"/>
          <w:szCs w:val="24"/>
          <w:highlight w:val="yellow"/>
        </w:rPr>
        <w:t xml:space="preserve"> zpracování</w:t>
      </w:r>
    </w:p>
    <w:p w14:paraId="7C48837D" w14:textId="77777777" w:rsidR="00BC3DF8" w:rsidRDefault="00BC3DF8" w:rsidP="00BC3DF8">
      <w:pPr>
        <w:pStyle w:val="Podnadpis"/>
        <w:spacing w:before="120" w:after="120" w:line="276" w:lineRule="auto"/>
        <w:ind w:right="907"/>
        <w:jc w:val="center"/>
        <w:rPr>
          <w:rFonts w:ascii="Arial" w:hAnsi="Arial" w:cs="Arial"/>
          <w:color w:val="auto"/>
          <w:sz w:val="22"/>
          <w:szCs w:val="22"/>
        </w:rPr>
      </w:pPr>
      <w:r w:rsidRPr="003F41A9">
        <w:rPr>
          <w:rFonts w:ascii="Arial" w:hAnsi="Arial" w:cs="Arial"/>
          <w:color w:val="auto"/>
          <w:sz w:val="22"/>
          <w:szCs w:val="22"/>
        </w:rPr>
        <w:t>Hlavní a strategické cíle Akčního plánu</w:t>
      </w:r>
    </w:p>
    <w:p w14:paraId="04E94C06" w14:textId="77777777" w:rsidR="00BC3DF8" w:rsidRPr="003F41A9" w:rsidRDefault="00BC3DF8" w:rsidP="00BC3DF8">
      <w:pPr>
        <w:pStyle w:val="Podnadpis"/>
        <w:spacing w:before="120" w:after="120" w:line="276" w:lineRule="auto"/>
        <w:ind w:right="907"/>
        <w:jc w:val="center"/>
        <w:rPr>
          <w:rFonts w:ascii="Arial" w:hAnsi="Arial" w:cs="Arial"/>
          <w:color w:val="auto"/>
          <w:sz w:val="22"/>
          <w:szCs w:val="22"/>
        </w:rPr>
      </w:pPr>
    </w:p>
    <w:p w14:paraId="05162E2B" w14:textId="77777777" w:rsidR="00BC3DF8" w:rsidRPr="002767EE" w:rsidRDefault="00BC3DF8" w:rsidP="00BC3DF8">
      <w:pPr>
        <w:pStyle w:val="Podnadpis"/>
        <w:spacing w:before="120" w:after="120" w:line="276" w:lineRule="auto"/>
        <w:ind w:left="502"/>
        <w:rPr>
          <w:rFonts w:ascii="Arial" w:hAnsi="Arial" w:cs="Arial"/>
          <w:b w:val="0"/>
          <w:bCs w:val="0"/>
          <w:strike/>
          <w:color w:val="2E74B5" w:themeColor="accent1" w:themeShade="BF"/>
          <w:sz w:val="22"/>
          <w:szCs w:val="22"/>
          <w:highlight w:val="yellow"/>
        </w:rPr>
      </w:pPr>
      <w:r>
        <w:rPr>
          <w:rFonts w:ascii="Arial" w:hAnsi="Arial" w:cs="Arial"/>
          <w:b w:val="0"/>
          <w:bCs w:val="0"/>
          <w:color w:val="002060"/>
          <w:sz w:val="22"/>
          <w:szCs w:val="22"/>
        </w:rPr>
        <w:t xml:space="preserve">1. </w:t>
      </w:r>
      <w:r w:rsidRPr="00B16F6C">
        <w:rPr>
          <w:rFonts w:ascii="Arial" w:hAnsi="Arial" w:cs="Arial"/>
          <w:color w:val="002060"/>
          <w:sz w:val="22"/>
          <w:szCs w:val="22"/>
        </w:rPr>
        <w:t>Zajistit institucionální podporu přípravy na stárnutí</w:t>
      </w:r>
      <w:r w:rsidRPr="00B16F6C">
        <w:rPr>
          <w:rFonts w:ascii="Arial" w:hAnsi="Arial" w:cs="Arial"/>
          <w:b w:val="0"/>
          <w:bCs w:val="0"/>
          <w:color w:val="002060"/>
          <w:sz w:val="22"/>
          <w:szCs w:val="22"/>
        </w:rPr>
        <w:t xml:space="preserve"> </w:t>
      </w:r>
      <w:r w:rsidRPr="00B16F6C">
        <w:rPr>
          <w:rFonts w:ascii="Arial" w:hAnsi="Arial" w:cs="Arial"/>
          <w:b w:val="0"/>
          <w:bCs w:val="0"/>
          <w:strike/>
          <w:color w:val="002060"/>
          <w:sz w:val="22"/>
          <w:szCs w:val="22"/>
          <w:highlight w:val="yellow"/>
        </w:rPr>
        <w:t xml:space="preserve">            </w:t>
      </w:r>
    </w:p>
    <w:p w14:paraId="3EF5CCA3" w14:textId="77777777" w:rsidR="00BC3DF8" w:rsidRPr="005B1073" w:rsidRDefault="00BC3DF8" w:rsidP="00BC3DF8">
      <w:pPr>
        <w:pStyle w:val="Odstavecseseznamem"/>
        <w:numPr>
          <w:ilvl w:val="1"/>
          <w:numId w:val="23"/>
        </w:numPr>
        <w:spacing w:before="120" w:after="120" w:line="276" w:lineRule="auto"/>
        <w:contextualSpacing/>
        <w:jc w:val="both"/>
        <w:rPr>
          <w:rFonts w:ascii="Arial" w:hAnsi="Arial" w:cs="Arial"/>
          <w:b/>
          <w:bCs/>
          <w:sz w:val="22"/>
          <w:szCs w:val="22"/>
        </w:rPr>
      </w:pPr>
      <w:r w:rsidRPr="005B1073">
        <w:rPr>
          <w:rFonts w:ascii="Arial" w:hAnsi="Arial" w:cs="Arial"/>
          <w:b/>
          <w:bCs/>
          <w:sz w:val="22"/>
          <w:szCs w:val="22"/>
        </w:rPr>
        <w:t>Nastavit udržitelnou řídící a koordinační roli státu v politice přípravy na stárnutí společnosti s důrazem na spolupráci aktérů</w:t>
      </w:r>
    </w:p>
    <w:p w14:paraId="76B858B6" w14:textId="77777777" w:rsidR="00BC3DF8"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bookmarkStart w:id="1" w:name="_Hlk136689650"/>
      <w:r w:rsidRPr="007161F0">
        <w:rPr>
          <w:rFonts w:ascii="Arial" w:hAnsi="Arial" w:cs="Arial"/>
          <w:sz w:val="22"/>
          <w:szCs w:val="22"/>
        </w:rPr>
        <w:t xml:space="preserve">Zajistit udržitelnost institucionální podpory seniorského tématu a tématu stárnutí na </w:t>
      </w:r>
      <w:r>
        <w:rPr>
          <w:rFonts w:ascii="Arial" w:hAnsi="Arial" w:cs="Arial"/>
          <w:sz w:val="22"/>
          <w:szCs w:val="22"/>
        </w:rPr>
        <w:t>centrální úrovni</w:t>
      </w:r>
    </w:p>
    <w:bookmarkEnd w:id="1"/>
    <w:p w14:paraId="1930339C" w14:textId="77777777" w:rsidR="00BC3DF8" w:rsidRPr="005B1073"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04A0A">
        <w:rPr>
          <w:rFonts w:ascii="Arial" w:hAnsi="Arial" w:cs="Arial"/>
          <w:sz w:val="22"/>
          <w:szCs w:val="22"/>
        </w:rPr>
        <w:t xml:space="preserve">Revidovat činnost Rady vlády pro seniory a stárnutí populace a otázky stárnutí s ohledem na nové </w:t>
      </w:r>
      <w:r>
        <w:rPr>
          <w:rFonts w:ascii="Arial" w:hAnsi="Arial" w:cs="Arial"/>
          <w:sz w:val="22"/>
          <w:szCs w:val="22"/>
        </w:rPr>
        <w:t xml:space="preserve">trendy a </w:t>
      </w:r>
      <w:r w:rsidRPr="00B04A0A">
        <w:rPr>
          <w:rFonts w:ascii="Arial" w:hAnsi="Arial" w:cs="Arial"/>
          <w:sz w:val="22"/>
          <w:szCs w:val="22"/>
        </w:rPr>
        <w:t xml:space="preserve">výzvy ve společnosti </w:t>
      </w:r>
    </w:p>
    <w:p w14:paraId="693893F4" w14:textId="77777777" w:rsidR="00BC3DF8"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04A0A">
        <w:rPr>
          <w:rFonts w:ascii="Arial" w:hAnsi="Arial" w:cs="Arial"/>
          <w:sz w:val="22"/>
          <w:szCs w:val="22"/>
        </w:rPr>
        <w:t xml:space="preserve">Zavedení kontaktních míst pro seniorskou problematiku na </w:t>
      </w:r>
      <w:proofErr w:type="gramStart"/>
      <w:r w:rsidRPr="00B04A0A">
        <w:rPr>
          <w:rFonts w:ascii="Arial" w:hAnsi="Arial" w:cs="Arial"/>
          <w:sz w:val="22"/>
          <w:szCs w:val="22"/>
        </w:rPr>
        <w:t>rezortech</w:t>
      </w:r>
      <w:proofErr w:type="gramEnd"/>
      <w:r>
        <w:rPr>
          <w:rFonts w:ascii="Arial" w:hAnsi="Arial" w:cs="Arial"/>
          <w:sz w:val="22"/>
          <w:szCs w:val="22"/>
        </w:rPr>
        <w:t xml:space="preserve"> tak, aby byl vytvořen</w:t>
      </w:r>
      <w:r w:rsidRPr="00B04A0A">
        <w:rPr>
          <w:rFonts w:ascii="Arial" w:hAnsi="Arial" w:cs="Arial"/>
          <w:sz w:val="22"/>
          <w:szCs w:val="22"/>
        </w:rPr>
        <w:t xml:space="preserve"> </w:t>
      </w:r>
      <w:r>
        <w:rPr>
          <w:rFonts w:ascii="Arial" w:hAnsi="Arial" w:cs="Arial"/>
          <w:sz w:val="22"/>
          <w:szCs w:val="22"/>
        </w:rPr>
        <w:t>základní model koordinace politiky přípravy na stárnutí společnosti</w:t>
      </w:r>
    </w:p>
    <w:p w14:paraId="3A90DEE4" w14:textId="77777777" w:rsidR="00BC3DF8" w:rsidRPr="00B16F6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Pr>
          <w:rFonts w:ascii="Arial" w:hAnsi="Arial" w:cs="Arial"/>
          <w:sz w:val="22"/>
          <w:szCs w:val="22"/>
        </w:rPr>
        <w:t>Nastavit</w:t>
      </w:r>
      <w:r w:rsidRPr="00B16F6C">
        <w:rPr>
          <w:rFonts w:ascii="Arial" w:hAnsi="Arial" w:cs="Arial"/>
          <w:sz w:val="22"/>
          <w:szCs w:val="22"/>
        </w:rPr>
        <w:t xml:space="preserve"> </w:t>
      </w:r>
      <w:r>
        <w:rPr>
          <w:rFonts w:ascii="Arial" w:hAnsi="Arial" w:cs="Arial"/>
          <w:sz w:val="22"/>
          <w:szCs w:val="22"/>
        </w:rPr>
        <w:t xml:space="preserve">motivační prostředí k </w:t>
      </w:r>
      <w:r w:rsidRPr="00B16F6C">
        <w:rPr>
          <w:rFonts w:ascii="Arial" w:hAnsi="Arial" w:cs="Arial"/>
          <w:sz w:val="22"/>
          <w:szCs w:val="22"/>
        </w:rPr>
        <w:t>institucionáln</w:t>
      </w:r>
      <w:r>
        <w:rPr>
          <w:rFonts w:ascii="Arial" w:hAnsi="Arial" w:cs="Arial"/>
          <w:sz w:val="22"/>
          <w:szCs w:val="22"/>
        </w:rPr>
        <w:t>ímu</w:t>
      </w:r>
      <w:r w:rsidRPr="00B16F6C">
        <w:rPr>
          <w:rFonts w:ascii="Arial" w:hAnsi="Arial" w:cs="Arial"/>
          <w:sz w:val="22"/>
          <w:szCs w:val="22"/>
        </w:rPr>
        <w:t xml:space="preserve"> ukotvení seniorského tématu a tématu stárnutí na regionální a komunální úrovni</w:t>
      </w:r>
    </w:p>
    <w:p w14:paraId="62C3B634" w14:textId="77777777" w:rsidR="00BC3DF8" w:rsidRPr="00B16F6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16F6C">
        <w:rPr>
          <w:rFonts w:ascii="Arial" w:hAnsi="Arial" w:cs="Arial"/>
          <w:sz w:val="22"/>
          <w:szCs w:val="22"/>
        </w:rPr>
        <w:lastRenderedPageBreak/>
        <w:t>Zavést pravidelné setkávání s kraji, podporovat a motivovat komunální politik</w:t>
      </w:r>
      <w:r>
        <w:rPr>
          <w:rFonts w:ascii="Arial" w:hAnsi="Arial" w:cs="Arial"/>
          <w:sz w:val="22"/>
          <w:szCs w:val="22"/>
        </w:rPr>
        <w:t>y a samosprávu</w:t>
      </w:r>
      <w:r w:rsidRPr="00B16F6C">
        <w:rPr>
          <w:rFonts w:ascii="Arial" w:hAnsi="Arial" w:cs="Arial"/>
          <w:sz w:val="22"/>
          <w:szCs w:val="22"/>
        </w:rPr>
        <w:t xml:space="preserve"> k</w:t>
      </w:r>
      <w:r>
        <w:rPr>
          <w:rFonts w:ascii="Arial" w:hAnsi="Arial" w:cs="Arial"/>
          <w:sz w:val="22"/>
          <w:szCs w:val="22"/>
        </w:rPr>
        <w:t>e strategickému řízení seniorské politiky a k</w:t>
      </w:r>
      <w:r w:rsidRPr="00B16F6C">
        <w:rPr>
          <w:rFonts w:ascii="Arial" w:hAnsi="Arial" w:cs="Arial"/>
          <w:sz w:val="22"/>
          <w:szCs w:val="22"/>
        </w:rPr>
        <w:t xml:space="preserve"> tvorbě vlastních strategických materiálů</w:t>
      </w:r>
    </w:p>
    <w:p w14:paraId="0931DFE1" w14:textId="77777777" w:rsidR="00BC3DF8" w:rsidRPr="005B1073"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5B1073">
        <w:rPr>
          <w:rFonts w:ascii="Arial" w:hAnsi="Arial" w:cs="Arial"/>
          <w:sz w:val="22"/>
          <w:szCs w:val="22"/>
        </w:rPr>
        <w:t>Nastavit spolupráci s dalšími relevantními subjekty v tématu seniorské politiky a politiky přípravy na stárnutí společnosti</w:t>
      </w:r>
    </w:p>
    <w:p w14:paraId="59667F4C" w14:textId="77777777" w:rsidR="00BC3DF8" w:rsidRPr="00B16F6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16F6C">
        <w:rPr>
          <w:rFonts w:ascii="Arial" w:hAnsi="Arial" w:cs="Arial"/>
          <w:sz w:val="22"/>
          <w:szCs w:val="22"/>
        </w:rPr>
        <w:t xml:space="preserve">Realizovat systémovou spolupráci se střešními seniorskými organizacemi a dalšími podpůrnými organizacemi (především NNO) </w:t>
      </w:r>
    </w:p>
    <w:p w14:paraId="4C2E682A" w14:textId="77777777" w:rsidR="00BC3DF8" w:rsidRPr="00B16F6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16F6C">
        <w:rPr>
          <w:rFonts w:ascii="Arial" w:hAnsi="Arial" w:cs="Arial"/>
          <w:sz w:val="22"/>
          <w:szCs w:val="22"/>
        </w:rPr>
        <w:t>Nastavit spolupráci s akademickými a výzkumnými pracovišti a odbornou veřejností pro rozvoj seniorských témat a téma stárnutí společnosti</w:t>
      </w:r>
    </w:p>
    <w:p w14:paraId="2B5F0021" w14:textId="77777777" w:rsidR="00BC3DF8" w:rsidRDefault="00BC3DF8" w:rsidP="00BC3DF8">
      <w:pPr>
        <w:spacing w:before="120" w:after="120"/>
        <w:ind w:left="1928"/>
        <w:contextualSpacing/>
        <w:jc w:val="both"/>
        <w:rPr>
          <w:rFonts w:ascii="Arial" w:hAnsi="Arial" w:cs="Arial"/>
        </w:rPr>
      </w:pPr>
    </w:p>
    <w:p w14:paraId="7694C8E7" w14:textId="77777777" w:rsidR="00BC3DF8"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B16F6C">
        <w:rPr>
          <w:rFonts w:ascii="Arial" w:hAnsi="Arial" w:cs="Arial"/>
          <w:sz w:val="22"/>
          <w:szCs w:val="22"/>
        </w:rPr>
        <w:t xml:space="preserve">   Zmapovat nástroje přípravy na stárnutí společnosti v EU a dalších zemích a vyhodnotit aplikovatelnost těchto příkladů dobré praxe do prostředí ČR (např. zavedení seniorských ombudsmanů, rady </w:t>
      </w:r>
      <w:proofErr w:type="gramStart"/>
      <w:r w:rsidRPr="00B16F6C">
        <w:rPr>
          <w:rFonts w:ascii="Arial" w:hAnsi="Arial" w:cs="Arial"/>
          <w:sz w:val="22"/>
          <w:szCs w:val="22"/>
        </w:rPr>
        <w:t>seniorů,..</w:t>
      </w:r>
      <w:proofErr w:type="gramEnd"/>
      <w:r w:rsidRPr="00B16F6C">
        <w:rPr>
          <w:rFonts w:ascii="Arial" w:hAnsi="Arial" w:cs="Arial"/>
          <w:sz w:val="22"/>
          <w:szCs w:val="22"/>
        </w:rPr>
        <w:t>)</w:t>
      </w:r>
    </w:p>
    <w:p w14:paraId="44EC3ABB" w14:textId="77777777" w:rsidR="00BC3DF8" w:rsidRPr="005B1073" w:rsidRDefault="00BC3DF8" w:rsidP="00BC3DF8">
      <w:pPr>
        <w:spacing w:before="120" w:after="120"/>
        <w:contextualSpacing/>
        <w:jc w:val="both"/>
        <w:rPr>
          <w:rFonts w:ascii="Arial" w:hAnsi="Arial" w:cs="Arial"/>
        </w:rPr>
      </w:pPr>
    </w:p>
    <w:p w14:paraId="3595F8AB" w14:textId="77777777" w:rsidR="00BC3DF8" w:rsidRPr="00E62442" w:rsidRDefault="00BC3DF8" w:rsidP="00BC3DF8">
      <w:pPr>
        <w:pStyle w:val="Odstavecseseznamem"/>
        <w:spacing w:before="120" w:after="120" w:line="276" w:lineRule="auto"/>
        <w:ind w:left="2098"/>
        <w:contextualSpacing/>
        <w:jc w:val="both"/>
        <w:rPr>
          <w:rFonts w:ascii="Arial" w:hAnsi="Arial" w:cs="Arial"/>
          <w:bCs/>
          <w:sz w:val="22"/>
          <w:szCs w:val="22"/>
        </w:rPr>
      </w:pPr>
      <w:r w:rsidRPr="00E62442">
        <w:rPr>
          <w:rFonts w:ascii="Arial" w:hAnsi="Arial" w:cs="Arial"/>
          <w:bCs/>
        </w:rPr>
        <w:t xml:space="preserve">              </w:t>
      </w:r>
    </w:p>
    <w:p w14:paraId="55717EB4" w14:textId="77777777" w:rsidR="00BC3DF8" w:rsidRPr="005B1073" w:rsidRDefault="00BC3DF8" w:rsidP="00BC3DF8">
      <w:pPr>
        <w:pStyle w:val="Odstavecseseznamem"/>
        <w:numPr>
          <w:ilvl w:val="1"/>
          <w:numId w:val="23"/>
        </w:numPr>
        <w:spacing w:before="120" w:after="120" w:line="276" w:lineRule="auto"/>
        <w:contextualSpacing/>
        <w:jc w:val="both"/>
        <w:rPr>
          <w:rFonts w:ascii="Arial" w:hAnsi="Arial" w:cs="Arial"/>
          <w:b/>
          <w:bCs/>
          <w:sz w:val="22"/>
          <w:szCs w:val="22"/>
        </w:rPr>
      </w:pPr>
      <w:r w:rsidRPr="005B1073">
        <w:rPr>
          <w:rFonts w:ascii="Arial" w:hAnsi="Arial" w:cs="Arial"/>
          <w:b/>
          <w:bCs/>
          <w:sz w:val="22"/>
          <w:szCs w:val="22"/>
        </w:rPr>
        <w:t xml:space="preserve">Nastavit výzkumné a evaluační mechanismy a zavést pravidelné vyhodnocování dopadů nástrojů politiky přípravy na stárnutí </w:t>
      </w:r>
    </w:p>
    <w:p w14:paraId="7E169D46" w14:textId="77777777" w:rsidR="00BC3DF8" w:rsidRPr="00B16F6C"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B16F6C">
        <w:rPr>
          <w:rFonts w:ascii="Arial" w:hAnsi="Arial" w:cs="Arial"/>
          <w:sz w:val="22"/>
          <w:szCs w:val="22"/>
        </w:rPr>
        <w:t xml:space="preserve">Systematicky analyzovat </w:t>
      </w:r>
      <w:r>
        <w:rPr>
          <w:rFonts w:ascii="Arial" w:hAnsi="Arial" w:cs="Arial"/>
          <w:sz w:val="22"/>
          <w:szCs w:val="22"/>
        </w:rPr>
        <w:t xml:space="preserve">potřeby a </w:t>
      </w:r>
      <w:r w:rsidRPr="00B16F6C">
        <w:rPr>
          <w:rFonts w:ascii="Arial" w:hAnsi="Arial" w:cs="Arial"/>
          <w:sz w:val="22"/>
          <w:szCs w:val="22"/>
        </w:rPr>
        <w:t>situaci seniorů na podkladě dostupných dat (dotazníkové šetření, pravidelné vyhodnocování získaných informací, spolupráce s akademiky)</w:t>
      </w:r>
    </w:p>
    <w:p w14:paraId="449C771F" w14:textId="77777777" w:rsidR="00BC3DF8" w:rsidRPr="00B16F6C"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Pr>
          <w:rFonts w:ascii="Arial" w:hAnsi="Arial" w:cs="Arial"/>
          <w:sz w:val="22"/>
          <w:szCs w:val="22"/>
        </w:rPr>
        <w:t>K nástrojům</w:t>
      </w:r>
      <w:r w:rsidRPr="00B16F6C">
        <w:rPr>
          <w:rFonts w:ascii="Arial" w:hAnsi="Arial" w:cs="Arial"/>
          <w:sz w:val="22"/>
          <w:szCs w:val="22"/>
        </w:rPr>
        <w:t xml:space="preserve"> politiky</w:t>
      </w:r>
      <w:r>
        <w:rPr>
          <w:rFonts w:ascii="Arial" w:hAnsi="Arial" w:cs="Arial"/>
          <w:sz w:val="22"/>
          <w:szCs w:val="22"/>
        </w:rPr>
        <w:t xml:space="preserve"> stárnutí</w:t>
      </w:r>
      <w:r w:rsidRPr="00B16F6C">
        <w:rPr>
          <w:rFonts w:ascii="Arial" w:hAnsi="Arial" w:cs="Arial"/>
          <w:sz w:val="22"/>
          <w:szCs w:val="22"/>
        </w:rPr>
        <w:t xml:space="preserve"> nastavit </w:t>
      </w:r>
      <w:r>
        <w:rPr>
          <w:rFonts w:ascii="Arial" w:hAnsi="Arial" w:cs="Arial"/>
          <w:sz w:val="22"/>
          <w:szCs w:val="22"/>
        </w:rPr>
        <w:t xml:space="preserve">měřitelné </w:t>
      </w:r>
      <w:r w:rsidRPr="00B16F6C">
        <w:rPr>
          <w:rFonts w:ascii="Arial" w:hAnsi="Arial" w:cs="Arial"/>
          <w:sz w:val="22"/>
          <w:szCs w:val="22"/>
        </w:rPr>
        <w:t>výstupy</w:t>
      </w:r>
      <w:r>
        <w:rPr>
          <w:rFonts w:ascii="Arial" w:hAnsi="Arial" w:cs="Arial"/>
          <w:sz w:val="22"/>
          <w:szCs w:val="22"/>
        </w:rPr>
        <w:t xml:space="preserve"> a indikátory pro monitorování a evaluaci a dle nich pravidelně vyhodnocovat efektivitu nástrojů. </w:t>
      </w:r>
    </w:p>
    <w:p w14:paraId="4192C14B" w14:textId="77777777" w:rsidR="00BC3DF8" w:rsidRPr="00985584" w:rsidRDefault="00BC3DF8" w:rsidP="00BC3DF8">
      <w:pPr>
        <w:pStyle w:val="Odstavecseseznamem"/>
        <w:spacing w:before="120" w:after="120" w:line="276" w:lineRule="auto"/>
        <w:ind w:left="1224"/>
        <w:contextualSpacing/>
        <w:jc w:val="both"/>
        <w:rPr>
          <w:rFonts w:ascii="Arial" w:hAnsi="Arial" w:cs="Arial"/>
          <w:sz w:val="22"/>
          <w:szCs w:val="22"/>
        </w:rPr>
      </w:pPr>
    </w:p>
    <w:p w14:paraId="360E3CB4" w14:textId="77777777" w:rsidR="00BC3DF8" w:rsidRPr="005A634B" w:rsidRDefault="00BC3DF8" w:rsidP="00BC3DF8">
      <w:pPr>
        <w:pStyle w:val="Odstavecseseznamem"/>
        <w:numPr>
          <w:ilvl w:val="1"/>
          <w:numId w:val="23"/>
        </w:numPr>
        <w:spacing w:before="120" w:after="120" w:line="276" w:lineRule="auto"/>
        <w:contextualSpacing/>
        <w:jc w:val="both"/>
        <w:rPr>
          <w:rFonts w:ascii="Arial" w:hAnsi="Arial" w:cs="Arial"/>
          <w:b/>
          <w:bCs/>
          <w:strike/>
          <w:sz w:val="22"/>
          <w:szCs w:val="22"/>
        </w:rPr>
      </w:pPr>
      <w:r w:rsidRPr="005A634B">
        <w:rPr>
          <w:rFonts w:ascii="Arial" w:hAnsi="Arial" w:cs="Arial"/>
          <w:b/>
          <w:bCs/>
          <w:sz w:val="22"/>
          <w:szCs w:val="22"/>
        </w:rPr>
        <w:t>Realizovat osvětové a vzdělávací aktivity a kampaně pro veřejnost/aktéry</w:t>
      </w:r>
    </w:p>
    <w:p w14:paraId="5B3B92CA" w14:textId="77777777" w:rsidR="00BC3DF8" w:rsidRPr="00782870"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7161F0">
        <w:rPr>
          <w:rFonts w:ascii="Arial" w:hAnsi="Arial" w:cs="Arial"/>
          <w:sz w:val="22"/>
          <w:szCs w:val="22"/>
        </w:rPr>
        <w:t xml:space="preserve">Zařadit politiku stárnutí populace a seniorskou problematiku </w:t>
      </w:r>
      <w:r>
        <w:rPr>
          <w:rFonts w:ascii="Arial" w:hAnsi="Arial" w:cs="Arial"/>
          <w:sz w:val="22"/>
          <w:szCs w:val="22"/>
        </w:rPr>
        <w:t xml:space="preserve">k získání přirozeného respektu ke stáří </w:t>
      </w:r>
      <w:r w:rsidRPr="007161F0">
        <w:rPr>
          <w:rFonts w:ascii="Arial" w:hAnsi="Arial" w:cs="Arial"/>
          <w:sz w:val="22"/>
          <w:szCs w:val="22"/>
        </w:rPr>
        <w:t xml:space="preserve">do </w:t>
      </w:r>
      <w:r w:rsidRPr="00782870">
        <w:rPr>
          <w:rFonts w:ascii="Arial" w:hAnsi="Arial" w:cs="Arial"/>
        </w:rPr>
        <w:t xml:space="preserve">vzdělávacích plánu na všech stupních škol </w:t>
      </w:r>
      <w:r>
        <w:rPr>
          <w:rFonts w:ascii="Arial" w:hAnsi="Arial" w:cs="Arial"/>
        </w:rPr>
        <w:t>i</w:t>
      </w:r>
      <w:r w:rsidRPr="00782870">
        <w:rPr>
          <w:rFonts w:ascii="Arial" w:hAnsi="Arial" w:cs="Arial"/>
        </w:rPr>
        <w:t xml:space="preserve"> v dalších </w:t>
      </w:r>
      <w:r>
        <w:rPr>
          <w:rFonts w:ascii="Arial" w:hAnsi="Arial" w:cs="Arial"/>
        </w:rPr>
        <w:t xml:space="preserve">oblastech vzdělávání. </w:t>
      </w:r>
      <w:r w:rsidRPr="00782870">
        <w:rPr>
          <w:rFonts w:ascii="Arial" w:hAnsi="Arial" w:cs="Arial"/>
        </w:rPr>
        <w:t xml:space="preserve"> </w:t>
      </w:r>
    </w:p>
    <w:p w14:paraId="177B4194" w14:textId="77777777" w:rsidR="00BC3DF8"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B16F6C">
        <w:rPr>
          <w:rFonts w:ascii="Arial" w:hAnsi="Arial" w:cs="Arial"/>
          <w:sz w:val="22"/>
          <w:szCs w:val="22"/>
        </w:rPr>
        <w:t xml:space="preserve">Zahájit </w:t>
      </w:r>
      <w:proofErr w:type="gramStart"/>
      <w:r w:rsidRPr="00B16F6C">
        <w:rPr>
          <w:rFonts w:ascii="Arial" w:hAnsi="Arial" w:cs="Arial"/>
          <w:sz w:val="22"/>
          <w:szCs w:val="22"/>
        </w:rPr>
        <w:t>diskuzi</w:t>
      </w:r>
      <w:proofErr w:type="gramEnd"/>
      <w:r w:rsidRPr="00B16F6C">
        <w:rPr>
          <w:rFonts w:ascii="Arial" w:hAnsi="Arial" w:cs="Arial"/>
          <w:sz w:val="22"/>
          <w:szCs w:val="22"/>
        </w:rPr>
        <w:t xml:space="preserve"> o zařazení seniorské tematiky do ŠVP všech typů škol k získání přirozeného respektu ke stáří (návrh tematické přípravy na stárnutí společnosti s mezigenerační </w:t>
      </w:r>
      <w:proofErr w:type="spellStart"/>
      <w:r w:rsidRPr="00B16F6C">
        <w:rPr>
          <w:rFonts w:ascii="Arial" w:hAnsi="Arial" w:cs="Arial"/>
          <w:sz w:val="22"/>
          <w:szCs w:val="22"/>
        </w:rPr>
        <w:t>provazbou</w:t>
      </w:r>
      <w:proofErr w:type="spellEnd"/>
      <w:r w:rsidRPr="00B16F6C">
        <w:rPr>
          <w:rFonts w:ascii="Arial" w:hAnsi="Arial" w:cs="Arial"/>
          <w:sz w:val="22"/>
          <w:szCs w:val="22"/>
        </w:rPr>
        <w:t>, etický kodex chování k seniorům)</w:t>
      </w:r>
    </w:p>
    <w:p w14:paraId="6E8F7758" w14:textId="77777777" w:rsidR="00BC3DF8" w:rsidRPr="00B16F6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Pr>
          <w:rFonts w:ascii="Arial" w:hAnsi="Arial" w:cs="Arial"/>
          <w:sz w:val="22"/>
          <w:szCs w:val="22"/>
        </w:rPr>
        <w:t xml:space="preserve">Zahájit </w:t>
      </w:r>
      <w:proofErr w:type="gramStart"/>
      <w:r>
        <w:rPr>
          <w:rFonts w:ascii="Arial" w:hAnsi="Arial" w:cs="Arial"/>
          <w:sz w:val="22"/>
          <w:szCs w:val="22"/>
        </w:rPr>
        <w:t>diskuzi</w:t>
      </w:r>
      <w:proofErr w:type="gramEnd"/>
      <w:r>
        <w:rPr>
          <w:rFonts w:ascii="Arial" w:hAnsi="Arial" w:cs="Arial"/>
          <w:sz w:val="22"/>
          <w:szCs w:val="22"/>
        </w:rPr>
        <w:t xml:space="preserve"> o zařazení seniorské tematiky do občanského vzdělávání </w:t>
      </w:r>
    </w:p>
    <w:p w14:paraId="10E26E19" w14:textId="77777777" w:rsidR="00BC3DF8" w:rsidRPr="004B7096"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B16F6C">
        <w:rPr>
          <w:rFonts w:ascii="Arial" w:hAnsi="Arial" w:cs="Arial"/>
          <w:sz w:val="22"/>
          <w:szCs w:val="22"/>
        </w:rPr>
        <w:t>Podporovat odbourávání tabu a bariér propojováním společenských témat mezi seniory a ostatními generacemi (exkurze a besedy, mezigenerační a komunitní aktivity</w:t>
      </w:r>
      <w:r w:rsidRPr="006100FD">
        <w:rPr>
          <w:rFonts w:ascii="Arial" w:hAnsi="Arial" w:cs="Arial"/>
        </w:rPr>
        <w:t>)</w:t>
      </w:r>
    </w:p>
    <w:p w14:paraId="59A663C3" w14:textId="77777777" w:rsidR="00BC3DF8" w:rsidRPr="006100FD" w:rsidRDefault="00BC3DF8" w:rsidP="00BC3DF8">
      <w:pPr>
        <w:pStyle w:val="Odstavecseseznamem"/>
        <w:numPr>
          <w:ilvl w:val="2"/>
          <w:numId w:val="23"/>
        </w:numPr>
        <w:spacing w:before="120" w:after="120" w:line="276" w:lineRule="auto"/>
        <w:ind w:left="788"/>
        <w:contextualSpacing/>
        <w:jc w:val="both"/>
        <w:rPr>
          <w:rFonts w:ascii="Arial" w:hAnsi="Arial" w:cs="Arial"/>
          <w:sz w:val="22"/>
          <w:szCs w:val="22"/>
        </w:rPr>
      </w:pPr>
      <w:r w:rsidRPr="006100FD">
        <w:rPr>
          <w:rFonts w:ascii="Arial" w:hAnsi="Arial" w:cs="Arial"/>
          <w:sz w:val="22"/>
          <w:szCs w:val="22"/>
        </w:rPr>
        <w:t>Realizovat a podporovat osvětové kampaně a aktivity</w:t>
      </w:r>
    </w:p>
    <w:p w14:paraId="5F4E0FE5" w14:textId="77777777" w:rsidR="00BC3DF8" w:rsidRPr="006100FD"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6100FD">
        <w:rPr>
          <w:rFonts w:ascii="Arial" w:hAnsi="Arial" w:cs="Arial"/>
          <w:sz w:val="22"/>
          <w:szCs w:val="22"/>
        </w:rPr>
        <w:t xml:space="preserve">Spolupráce aktérů, pořádání společných tematických osvětových kampaní a výstupů na téma stříbrná ekonomika, zdravé, aktivní stárnutí a další aktuální výzvy </w:t>
      </w:r>
    </w:p>
    <w:p w14:paraId="50C4BF26" w14:textId="77777777" w:rsidR="00BC3DF8" w:rsidRPr="00BA4E7C" w:rsidRDefault="00BC3DF8" w:rsidP="00BC3DF8">
      <w:pPr>
        <w:pStyle w:val="Odstavecseseznamem"/>
        <w:numPr>
          <w:ilvl w:val="3"/>
          <w:numId w:val="23"/>
        </w:numPr>
        <w:spacing w:before="120" w:after="120" w:line="276" w:lineRule="auto"/>
        <w:contextualSpacing/>
        <w:jc w:val="both"/>
        <w:rPr>
          <w:rFonts w:ascii="Arial" w:hAnsi="Arial" w:cs="Arial"/>
          <w:sz w:val="22"/>
          <w:szCs w:val="22"/>
        </w:rPr>
      </w:pPr>
      <w:r w:rsidRPr="006100FD">
        <w:rPr>
          <w:rFonts w:ascii="Arial" w:hAnsi="Arial" w:cs="Arial"/>
          <w:sz w:val="22"/>
          <w:szCs w:val="22"/>
        </w:rPr>
        <w:t>Medializace získaných výzkumných výsledků a jejich praktický dopad na společnost</w:t>
      </w:r>
    </w:p>
    <w:p w14:paraId="26E5F16B" w14:textId="77777777" w:rsidR="00BC3DF8" w:rsidRPr="004B7096" w:rsidRDefault="00BC3DF8" w:rsidP="00BC3DF8">
      <w:pPr>
        <w:pStyle w:val="Odstavecseseznamem"/>
        <w:spacing w:before="120" w:after="120" w:line="276" w:lineRule="auto"/>
        <w:ind w:left="2098"/>
        <w:contextualSpacing/>
        <w:jc w:val="both"/>
        <w:rPr>
          <w:rFonts w:ascii="Arial" w:hAnsi="Arial" w:cs="Arial"/>
          <w:strike/>
          <w:sz w:val="22"/>
          <w:szCs w:val="22"/>
        </w:rPr>
      </w:pPr>
    </w:p>
    <w:p w14:paraId="5E6B5CD4" w14:textId="77777777" w:rsidR="00BC3DF8" w:rsidRPr="00195460" w:rsidRDefault="00BC3DF8" w:rsidP="00BC3DF8">
      <w:pPr>
        <w:pStyle w:val="Podnadpis"/>
        <w:spacing w:before="120" w:after="120" w:line="276" w:lineRule="auto"/>
        <w:ind w:left="714"/>
        <w:rPr>
          <w:rFonts w:ascii="Arial" w:hAnsi="Arial" w:cs="Arial"/>
          <w:strike/>
          <w:color w:val="002060"/>
        </w:rPr>
      </w:pPr>
      <w:r w:rsidRPr="00195460">
        <w:rPr>
          <w:rFonts w:ascii="Arial" w:hAnsi="Arial" w:cs="Arial"/>
          <w:color w:val="002060"/>
          <w:sz w:val="22"/>
          <w:szCs w:val="22"/>
        </w:rPr>
        <w:t>2. Podporovat aktivní a zdravé stárnutí (event. Podporovat aktivní přípravu na stárnutí</w:t>
      </w:r>
      <w:r w:rsidRPr="00195460">
        <w:rPr>
          <w:rFonts w:ascii="Arial" w:hAnsi="Arial" w:cs="Arial"/>
          <w:strike/>
          <w:color w:val="002060"/>
        </w:rPr>
        <w:t>)</w:t>
      </w:r>
    </w:p>
    <w:p w14:paraId="57D50B61" w14:textId="77777777" w:rsidR="00BC3DF8" w:rsidRPr="005A634B" w:rsidRDefault="00BC3DF8" w:rsidP="00BC3DF8">
      <w:pPr>
        <w:pStyle w:val="Odstavecseseznamem"/>
        <w:numPr>
          <w:ilvl w:val="1"/>
          <w:numId w:val="24"/>
        </w:numPr>
        <w:spacing w:before="120" w:after="120" w:line="276" w:lineRule="auto"/>
        <w:contextualSpacing/>
        <w:jc w:val="both"/>
        <w:rPr>
          <w:rFonts w:ascii="Arial" w:hAnsi="Arial" w:cs="Arial"/>
          <w:b/>
          <w:bCs/>
          <w:sz w:val="22"/>
          <w:szCs w:val="22"/>
        </w:rPr>
      </w:pPr>
      <w:r w:rsidRPr="005A634B">
        <w:rPr>
          <w:rFonts w:ascii="Arial" w:hAnsi="Arial" w:cs="Arial"/>
          <w:b/>
          <w:bCs/>
          <w:sz w:val="22"/>
          <w:szCs w:val="22"/>
        </w:rPr>
        <w:t>Podporovat aktivity rozvíjející zdravé stárnutí na komunitní úrovni</w:t>
      </w:r>
    </w:p>
    <w:p w14:paraId="23226454" w14:textId="77777777" w:rsidR="00BC3DF8" w:rsidRPr="007161F0" w:rsidRDefault="00BC3DF8" w:rsidP="00BC3DF8">
      <w:pPr>
        <w:pStyle w:val="Odstavecseseznamem"/>
        <w:spacing w:before="120" w:after="120" w:line="276" w:lineRule="auto"/>
        <w:ind w:left="1500"/>
        <w:contextualSpacing/>
        <w:jc w:val="both"/>
        <w:rPr>
          <w:rFonts w:ascii="Arial" w:hAnsi="Arial" w:cs="Arial"/>
          <w:sz w:val="22"/>
          <w:szCs w:val="22"/>
        </w:rPr>
      </w:pPr>
    </w:p>
    <w:p w14:paraId="796FA70E" w14:textId="77777777" w:rsidR="00BC3DF8" w:rsidRDefault="00BC3DF8" w:rsidP="00BC3DF8">
      <w:pPr>
        <w:pStyle w:val="Odstavecseseznamem"/>
        <w:numPr>
          <w:ilvl w:val="2"/>
          <w:numId w:val="24"/>
        </w:numPr>
        <w:spacing w:before="120" w:after="120" w:line="276" w:lineRule="auto"/>
        <w:contextualSpacing/>
        <w:jc w:val="both"/>
        <w:rPr>
          <w:rFonts w:ascii="Arial" w:hAnsi="Arial" w:cs="Arial"/>
          <w:sz w:val="22"/>
          <w:szCs w:val="22"/>
        </w:rPr>
      </w:pPr>
      <w:r w:rsidRPr="007161F0">
        <w:rPr>
          <w:rFonts w:ascii="Arial" w:hAnsi="Arial" w:cs="Arial"/>
          <w:sz w:val="22"/>
          <w:szCs w:val="22"/>
        </w:rPr>
        <w:t>Podporovat poradenství a aktivity primární prevence lidem 50+, lidem v seniorském věku</w:t>
      </w:r>
    </w:p>
    <w:p w14:paraId="4B68BB4C" w14:textId="77777777" w:rsidR="00BC3DF8" w:rsidRPr="004444D8" w:rsidRDefault="00BC3DF8" w:rsidP="00BC3DF8">
      <w:pPr>
        <w:pStyle w:val="Odstavecseseznamem"/>
        <w:numPr>
          <w:ilvl w:val="3"/>
          <w:numId w:val="24"/>
        </w:numPr>
        <w:spacing w:before="120" w:after="120" w:line="276" w:lineRule="auto"/>
        <w:contextualSpacing/>
        <w:jc w:val="both"/>
        <w:rPr>
          <w:rFonts w:ascii="Arial" w:hAnsi="Arial" w:cs="Arial"/>
          <w:sz w:val="22"/>
          <w:szCs w:val="22"/>
        </w:rPr>
      </w:pPr>
      <w:r w:rsidRPr="00BA4E7C">
        <w:rPr>
          <w:rFonts w:ascii="Arial" w:hAnsi="Arial" w:cs="Arial"/>
        </w:rPr>
        <w:t>Provést analýzu poradenských služeb a služeb primární prevence pro lidi 50+, seniory a seniorky</w:t>
      </w:r>
    </w:p>
    <w:p w14:paraId="0BE62C27" w14:textId="77777777" w:rsidR="00BC3DF8" w:rsidRPr="004444D8" w:rsidRDefault="00BC3DF8" w:rsidP="00BC3DF8">
      <w:pPr>
        <w:pStyle w:val="Odstavecseseznamem"/>
        <w:numPr>
          <w:ilvl w:val="3"/>
          <w:numId w:val="24"/>
        </w:numPr>
        <w:spacing w:before="120" w:after="120" w:line="276" w:lineRule="auto"/>
        <w:contextualSpacing/>
        <w:jc w:val="both"/>
        <w:rPr>
          <w:rFonts w:ascii="Arial" w:hAnsi="Arial" w:cs="Arial"/>
          <w:sz w:val="22"/>
          <w:szCs w:val="22"/>
        </w:rPr>
      </w:pPr>
      <w:r>
        <w:rPr>
          <w:rFonts w:ascii="Arial" w:hAnsi="Arial" w:cs="Arial"/>
        </w:rPr>
        <w:t>Na základě výsledků n</w:t>
      </w:r>
      <w:r w:rsidRPr="00BA4E7C">
        <w:rPr>
          <w:rFonts w:ascii="Arial" w:hAnsi="Arial" w:cs="Arial"/>
        </w:rPr>
        <w:t xml:space="preserve">avrhnout </w:t>
      </w:r>
      <w:r>
        <w:rPr>
          <w:rFonts w:ascii="Arial" w:hAnsi="Arial" w:cs="Arial"/>
        </w:rPr>
        <w:t xml:space="preserve">i </w:t>
      </w:r>
      <w:r w:rsidRPr="00BA4E7C">
        <w:rPr>
          <w:rFonts w:ascii="Arial" w:hAnsi="Arial" w:cs="Arial"/>
        </w:rPr>
        <w:t xml:space="preserve">opatření ke zlepšení v oblasti poradenských služeb a služeb primární prevence pro lidi 50+, seniory a seniorky (ve spolupráci s partnery zpracovat doporučení)                                                        </w:t>
      </w:r>
    </w:p>
    <w:p w14:paraId="183889F8" w14:textId="77777777" w:rsidR="00BC3DF8" w:rsidRPr="005A634B" w:rsidRDefault="00BC3DF8" w:rsidP="00BC3DF8">
      <w:pPr>
        <w:pStyle w:val="Odstavecseseznamem"/>
        <w:numPr>
          <w:ilvl w:val="3"/>
          <w:numId w:val="24"/>
        </w:numPr>
        <w:spacing w:before="240" w:after="120" w:line="276" w:lineRule="auto"/>
        <w:ind w:left="2098"/>
        <w:contextualSpacing/>
        <w:jc w:val="both"/>
        <w:rPr>
          <w:rFonts w:ascii="Arial" w:hAnsi="Arial" w:cs="Arial"/>
          <w:sz w:val="22"/>
          <w:szCs w:val="22"/>
        </w:rPr>
      </w:pPr>
      <w:r w:rsidRPr="006100FD">
        <w:rPr>
          <w:rFonts w:ascii="Arial" w:hAnsi="Arial" w:cs="Arial"/>
        </w:rPr>
        <w:t xml:space="preserve">Podporovat zdravý životní styl a prevenci v průběhu celého života            </w:t>
      </w:r>
    </w:p>
    <w:p w14:paraId="4C11B29B" w14:textId="77777777" w:rsidR="00BC3DF8" w:rsidRPr="005A634B" w:rsidRDefault="00BC3DF8" w:rsidP="00BC3DF8">
      <w:pPr>
        <w:pStyle w:val="Odstavecseseznamem"/>
        <w:spacing w:before="240" w:after="120" w:line="276" w:lineRule="auto"/>
        <w:ind w:left="2098"/>
        <w:contextualSpacing/>
        <w:jc w:val="both"/>
        <w:rPr>
          <w:rFonts w:ascii="Arial" w:hAnsi="Arial" w:cs="Arial"/>
          <w:b/>
          <w:bCs/>
          <w:sz w:val="22"/>
          <w:szCs w:val="22"/>
        </w:rPr>
      </w:pPr>
      <w:r w:rsidRPr="005A634B">
        <w:rPr>
          <w:rFonts w:ascii="Arial" w:hAnsi="Arial" w:cs="Arial"/>
          <w:b/>
          <w:bCs/>
        </w:rPr>
        <w:t xml:space="preserve">             </w:t>
      </w:r>
    </w:p>
    <w:p w14:paraId="5DFDB109" w14:textId="77777777" w:rsidR="00BC3DF8" w:rsidRPr="005A634B" w:rsidRDefault="00BC3DF8" w:rsidP="00BC3DF8">
      <w:pPr>
        <w:pStyle w:val="Odstavecseseznamem"/>
        <w:numPr>
          <w:ilvl w:val="1"/>
          <w:numId w:val="24"/>
        </w:numPr>
        <w:spacing w:before="120" w:after="120" w:line="276" w:lineRule="auto"/>
        <w:contextualSpacing/>
        <w:jc w:val="both"/>
        <w:rPr>
          <w:rFonts w:ascii="Arial" w:hAnsi="Arial" w:cs="Arial"/>
          <w:b/>
          <w:bCs/>
          <w:sz w:val="22"/>
          <w:szCs w:val="22"/>
        </w:rPr>
      </w:pPr>
      <w:r w:rsidRPr="005A634B">
        <w:rPr>
          <w:rFonts w:ascii="Arial" w:hAnsi="Arial" w:cs="Arial"/>
          <w:b/>
          <w:bCs/>
          <w:sz w:val="22"/>
          <w:szCs w:val="22"/>
        </w:rPr>
        <w:t>Rozvíjet dobrovolnictví a mezigenerační solidaritu</w:t>
      </w:r>
    </w:p>
    <w:p w14:paraId="687D801B" w14:textId="77777777" w:rsidR="00BC3DF8" w:rsidRPr="007F500F" w:rsidRDefault="00BC3DF8" w:rsidP="00BC3DF8">
      <w:pPr>
        <w:pStyle w:val="Odstavecseseznamem"/>
        <w:numPr>
          <w:ilvl w:val="2"/>
          <w:numId w:val="24"/>
        </w:numPr>
        <w:spacing w:before="120" w:after="120" w:line="276" w:lineRule="auto"/>
        <w:contextualSpacing/>
        <w:jc w:val="both"/>
        <w:rPr>
          <w:rFonts w:ascii="Arial" w:hAnsi="Arial" w:cs="Arial"/>
          <w:sz w:val="22"/>
          <w:szCs w:val="22"/>
        </w:rPr>
      </w:pPr>
      <w:r w:rsidRPr="007F500F">
        <w:rPr>
          <w:rFonts w:ascii="Arial" w:hAnsi="Arial" w:cs="Arial"/>
          <w:sz w:val="22"/>
          <w:szCs w:val="22"/>
        </w:rPr>
        <w:t xml:space="preserve">Posilovat </w:t>
      </w:r>
      <w:r w:rsidRPr="007161F0">
        <w:rPr>
          <w:rFonts w:ascii="Arial" w:hAnsi="Arial" w:cs="Arial"/>
          <w:sz w:val="22"/>
          <w:szCs w:val="22"/>
        </w:rPr>
        <w:t xml:space="preserve">prestiž </w:t>
      </w:r>
      <w:r>
        <w:rPr>
          <w:rFonts w:ascii="Arial" w:hAnsi="Arial" w:cs="Arial"/>
          <w:sz w:val="22"/>
          <w:szCs w:val="22"/>
        </w:rPr>
        <w:t xml:space="preserve">a oceňování </w:t>
      </w:r>
      <w:r w:rsidRPr="007161F0">
        <w:rPr>
          <w:rFonts w:ascii="Arial" w:hAnsi="Arial" w:cs="Arial"/>
          <w:sz w:val="22"/>
          <w:szCs w:val="22"/>
        </w:rPr>
        <w:t>dobrovolnictví (kampaň, aktualizace webu</w:t>
      </w:r>
      <w:r>
        <w:rPr>
          <w:rFonts w:ascii="Arial" w:hAnsi="Arial" w:cs="Arial"/>
          <w:sz w:val="22"/>
          <w:szCs w:val="22"/>
        </w:rPr>
        <w:t xml:space="preserve"> dobrovolnik.net, </w:t>
      </w:r>
      <w:r w:rsidRPr="007161F0">
        <w:rPr>
          <w:rFonts w:ascii="Arial" w:hAnsi="Arial" w:cs="Arial"/>
          <w:sz w:val="22"/>
          <w:szCs w:val="22"/>
        </w:rPr>
        <w:t>setkání; projekt samosprávy</w:t>
      </w:r>
      <w:r>
        <w:rPr>
          <w:rFonts w:ascii="Arial" w:hAnsi="Arial" w:cs="Arial"/>
          <w:color w:val="FF0000"/>
          <w:sz w:val="22"/>
          <w:szCs w:val="22"/>
        </w:rPr>
        <w:t xml:space="preserve">, </w:t>
      </w:r>
      <w:r w:rsidRPr="007F500F">
        <w:rPr>
          <w:rFonts w:ascii="Arial" w:hAnsi="Arial" w:cs="Arial"/>
          <w:sz w:val="22"/>
          <w:szCs w:val="22"/>
        </w:rPr>
        <w:t xml:space="preserve">a další aktivity – osvěta, firemní </w:t>
      </w:r>
      <w:proofErr w:type="spellStart"/>
      <w:proofErr w:type="gramStart"/>
      <w:r w:rsidRPr="007F500F">
        <w:rPr>
          <w:rFonts w:ascii="Arial" w:hAnsi="Arial" w:cs="Arial"/>
          <w:sz w:val="22"/>
          <w:szCs w:val="22"/>
        </w:rPr>
        <w:t>dobrovolnictví,.</w:t>
      </w:r>
      <w:proofErr w:type="gramEnd"/>
      <w:r w:rsidRPr="007F500F">
        <w:rPr>
          <w:rFonts w:ascii="Arial" w:hAnsi="Arial" w:cs="Arial"/>
          <w:sz w:val="22"/>
          <w:szCs w:val="22"/>
        </w:rPr>
        <w:t>školní</w:t>
      </w:r>
      <w:proofErr w:type="spellEnd"/>
      <w:r w:rsidRPr="007F500F">
        <w:rPr>
          <w:rFonts w:ascii="Arial" w:hAnsi="Arial" w:cs="Arial"/>
          <w:sz w:val="22"/>
          <w:szCs w:val="22"/>
        </w:rPr>
        <w:t xml:space="preserve"> dobrovolnictví)</w:t>
      </w:r>
    </w:p>
    <w:p w14:paraId="31A883D8" w14:textId="57A2930D" w:rsidR="00BC3DF8" w:rsidRDefault="00BC3DF8" w:rsidP="00BC3DF8">
      <w:pPr>
        <w:pStyle w:val="Odstavecseseznamem"/>
        <w:numPr>
          <w:ilvl w:val="2"/>
          <w:numId w:val="24"/>
        </w:numPr>
        <w:spacing w:before="120" w:after="120" w:line="276" w:lineRule="auto"/>
        <w:contextualSpacing/>
        <w:jc w:val="both"/>
        <w:rPr>
          <w:rFonts w:ascii="Arial" w:hAnsi="Arial" w:cs="Arial"/>
          <w:sz w:val="22"/>
          <w:szCs w:val="22"/>
        </w:rPr>
      </w:pPr>
      <w:r w:rsidRPr="007161F0">
        <w:rPr>
          <w:rFonts w:ascii="Arial" w:hAnsi="Arial" w:cs="Arial"/>
          <w:sz w:val="22"/>
          <w:szCs w:val="22"/>
        </w:rPr>
        <w:t>Podporovat financování rozvoje dobrovolnictví na komunitní úrovni (realizace výzev MV</w:t>
      </w:r>
      <w:r>
        <w:rPr>
          <w:rFonts w:ascii="Arial" w:hAnsi="Arial" w:cs="Arial"/>
          <w:sz w:val="22"/>
          <w:szCs w:val="22"/>
        </w:rPr>
        <w:t xml:space="preserve">, </w:t>
      </w:r>
      <w:r w:rsidRPr="006100FD">
        <w:rPr>
          <w:rFonts w:ascii="Arial" w:hAnsi="Arial" w:cs="Arial"/>
          <w:sz w:val="22"/>
          <w:szCs w:val="22"/>
        </w:rPr>
        <w:t>MAS,</w:t>
      </w:r>
      <w:r>
        <w:rPr>
          <w:rFonts w:ascii="Arial" w:hAnsi="Arial" w:cs="Arial"/>
          <w:sz w:val="22"/>
          <w:szCs w:val="22"/>
        </w:rPr>
        <w:t xml:space="preserve"> dotační tituly MPSV, dotační tituly krajů a obcí</w:t>
      </w:r>
      <w:r>
        <w:rPr>
          <w:rFonts w:ascii="Arial" w:hAnsi="Arial" w:cs="Arial"/>
          <w:color w:val="FF0000"/>
          <w:sz w:val="22"/>
          <w:szCs w:val="22"/>
        </w:rPr>
        <w:t>…</w:t>
      </w:r>
      <w:r>
        <w:rPr>
          <w:rFonts w:ascii="Arial" w:hAnsi="Arial" w:cs="Arial"/>
          <w:sz w:val="22"/>
          <w:szCs w:val="22"/>
        </w:rPr>
        <w:t>)</w:t>
      </w:r>
      <w:r w:rsidRPr="007161F0">
        <w:rPr>
          <w:rFonts w:ascii="Arial" w:hAnsi="Arial" w:cs="Arial"/>
          <w:sz w:val="22"/>
          <w:szCs w:val="22"/>
        </w:rPr>
        <w:t xml:space="preserve"> </w:t>
      </w:r>
    </w:p>
    <w:p w14:paraId="2846BB53" w14:textId="77777777" w:rsidR="00CC3C6B" w:rsidRPr="0001178E" w:rsidRDefault="00CC3C6B" w:rsidP="00CC3C6B">
      <w:pPr>
        <w:pStyle w:val="Odstavecseseznamem"/>
        <w:numPr>
          <w:ilvl w:val="2"/>
          <w:numId w:val="24"/>
        </w:numPr>
        <w:spacing w:after="120" w:line="264" w:lineRule="auto"/>
        <w:contextualSpacing/>
        <w:jc w:val="both"/>
        <w:rPr>
          <w:rFonts w:ascii="Arial" w:hAnsi="Arial" w:cs="Arial"/>
          <w:sz w:val="22"/>
          <w:szCs w:val="22"/>
        </w:rPr>
      </w:pPr>
      <w:r w:rsidRPr="0001178E">
        <w:rPr>
          <w:rFonts w:ascii="Arial" w:hAnsi="Arial" w:cs="Arial"/>
        </w:rPr>
        <w:t>Podporovat mezigenerační vzdělávací aktivity škol a dalších institucí (sumář doporučení)</w:t>
      </w:r>
    </w:p>
    <w:p w14:paraId="12F05056" w14:textId="77777777" w:rsidR="00CC3C6B" w:rsidRDefault="00CC3C6B" w:rsidP="00CC3C6B">
      <w:pPr>
        <w:pStyle w:val="Odstavecseseznamem"/>
        <w:spacing w:before="120" w:after="120" w:line="276" w:lineRule="auto"/>
        <w:ind w:left="1921"/>
        <w:contextualSpacing/>
        <w:jc w:val="both"/>
        <w:rPr>
          <w:rFonts w:ascii="Arial" w:hAnsi="Arial" w:cs="Arial"/>
          <w:sz w:val="22"/>
          <w:szCs w:val="22"/>
        </w:rPr>
      </w:pPr>
    </w:p>
    <w:p w14:paraId="28D6CEDC" w14:textId="77777777" w:rsidR="00BC3DF8" w:rsidRDefault="00BC3DF8" w:rsidP="00BC3DF8">
      <w:pPr>
        <w:pStyle w:val="Odstavecseseznamem"/>
        <w:spacing w:before="120" w:after="120" w:line="276" w:lineRule="auto"/>
        <w:ind w:left="1921"/>
        <w:contextualSpacing/>
        <w:jc w:val="both"/>
        <w:rPr>
          <w:rFonts w:ascii="Arial" w:hAnsi="Arial" w:cs="Arial"/>
          <w:sz w:val="22"/>
          <w:szCs w:val="22"/>
        </w:rPr>
      </w:pPr>
    </w:p>
    <w:p w14:paraId="53CA9C25" w14:textId="77777777" w:rsidR="00BC3DF8" w:rsidRPr="00195460" w:rsidRDefault="00BC3DF8" w:rsidP="00BC3DF8">
      <w:pPr>
        <w:pStyle w:val="Podnadpis"/>
        <w:spacing w:before="120" w:after="120" w:line="276" w:lineRule="auto"/>
        <w:ind w:left="714"/>
        <w:rPr>
          <w:rFonts w:ascii="Arial" w:hAnsi="Arial" w:cs="Arial"/>
          <w:color w:val="002060"/>
          <w:sz w:val="22"/>
          <w:szCs w:val="22"/>
        </w:rPr>
      </w:pPr>
      <w:r w:rsidRPr="00195460">
        <w:rPr>
          <w:rFonts w:ascii="Arial" w:hAnsi="Arial" w:cs="Arial"/>
          <w:color w:val="002060"/>
          <w:sz w:val="22"/>
          <w:szCs w:val="22"/>
        </w:rPr>
        <w:t xml:space="preserve">3. Podporovat zaměstnanost a adaptabilitu na trh práce </w:t>
      </w:r>
    </w:p>
    <w:p w14:paraId="1ED5298F" w14:textId="77777777" w:rsidR="00BC3DF8" w:rsidRPr="005A634B" w:rsidRDefault="00BC3DF8" w:rsidP="00BC3DF8">
      <w:pPr>
        <w:pStyle w:val="Odstavecseseznamem"/>
        <w:numPr>
          <w:ilvl w:val="1"/>
          <w:numId w:val="25"/>
        </w:numPr>
        <w:spacing w:after="0" w:line="264" w:lineRule="auto"/>
        <w:ind w:left="1497" w:hanging="431"/>
        <w:contextualSpacing/>
        <w:jc w:val="both"/>
        <w:rPr>
          <w:rFonts w:ascii="Arial" w:hAnsi="Arial" w:cs="Arial"/>
          <w:b/>
          <w:bCs/>
          <w:sz w:val="22"/>
          <w:szCs w:val="22"/>
        </w:rPr>
      </w:pPr>
      <w:r w:rsidRPr="005A634B">
        <w:rPr>
          <w:rFonts w:ascii="Arial" w:hAnsi="Arial" w:cs="Arial"/>
          <w:b/>
          <w:bCs/>
          <w:sz w:val="22"/>
          <w:szCs w:val="22"/>
        </w:rPr>
        <w:t xml:space="preserve">Aplikovat nástroje APZ a další opatření k udržitelnosti zaměstnanosti věkově starších osob  </w:t>
      </w:r>
    </w:p>
    <w:p w14:paraId="72A81EEC" w14:textId="77777777" w:rsidR="00BC3DF8" w:rsidRPr="007161F0" w:rsidRDefault="00BC3DF8" w:rsidP="00BC3DF8">
      <w:pPr>
        <w:spacing w:after="120" w:line="264" w:lineRule="auto"/>
        <w:ind w:left="1418"/>
        <w:contextualSpacing/>
        <w:jc w:val="both"/>
        <w:rPr>
          <w:rFonts w:ascii="Arial" w:hAnsi="Arial" w:cs="Arial"/>
        </w:rPr>
      </w:pPr>
      <w:r w:rsidRPr="007161F0">
        <w:rPr>
          <w:rFonts w:ascii="Arial" w:hAnsi="Arial" w:cs="Arial"/>
        </w:rPr>
        <w:t xml:space="preserve">3.1.1. Podporovat rekvalifikace seniorů a celoživotní učení pro osoby 50+  </w:t>
      </w:r>
    </w:p>
    <w:p w14:paraId="36B74AFB" w14:textId="77777777" w:rsidR="00BC3DF8" w:rsidRDefault="00BC3DF8" w:rsidP="00BC3DF8">
      <w:pPr>
        <w:spacing w:after="120" w:line="264" w:lineRule="auto"/>
        <w:ind w:left="1418"/>
        <w:contextualSpacing/>
        <w:jc w:val="both"/>
        <w:rPr>
          <w:rFonts w:ascii="Arial" w:hAnsi="Arial" w:cs="Arial"/>
        </w:rPr>
      </w:pPr>
      <w:r w:rsidRPr="007161F0">
        <w:rPr>
          <w:rFonts w:ascii="Arial" w:hAnsi="Arial" w:cs="Arial"/>
        </w:rPr>
        <w:t>(novela zákona o zaměstnanosti, sumář doporučení</w:t>
      </w:r>
      <w:r>
        <w:rPr>
          <w:rFonts w:ascii="Arial" w:hAnsi="Arial" w:cs="Arial"/>
        </w:rPr>
        <w:t>, projekty Úřadu práce ČR</w:t>
      </w:r>
      <w:r w:rsidRPr="007161F0">
        <w:rPr>
          <w:rFonts w:ascii="Arial" w:hAnsi="Arial" w:cs="Arial"/>
        </w:rPr>
        <w:t>)</w:t>
      </w:r>
    </w:p>
    <w:p w14:paraId="30C453C7" w14:textId="77777777" w:rsidR="00BC3DF8" w:rsidRPr="007161F0" w:rsidRDefault="00BC3DF8" w:rsidP="00BC3DF8">
      <w:pPr>
        <w:spacing w:after="120" w:line="264" w:lineRule="auto"/>
        <w:ind w:left="1418"/>
        <w:contextualSpacing/>
        <w:jc w:val="both"/>
        <w:rPr>
          <w:rFonts w:ascii="Arial" w:hAnsi="Arial" w:cs="Arial"/>
        </w:rPr>
      </w:pPr>
      <w:r>
        <w:rPr>
          <w:rFonts w:ascii="Arial" w:hAnsi="Arial" w:cs="Arial"/>
        </w:rPr>
        <w:t>3.1.2. Podporovat aktivity zamezující diskriminaci z důvodu věku na trhu práce</w:t>
      </w:r>
    </w:p>
    <w:p w14:paraId="76CED5E7" w14:textId="77777777" w:rsidR="00BC3DF8" w:rsidRPr="005A634B" w:rsidRDefault="00BC3DF8" w:rsidP="00BC3DF8">
      <w:pPr>
        <w:pStyle w:val="Odstavecseseznamem"/>
        <w:numPr>
          <w:ilvl w:val="1"/>
          <w:numId w:val="25"/>
        </w:numPr>
        <w:spacing w:after="120" w:line="264" w:lineRule="auto"/>
        <w:ind w:left="1497" w:hanging="431"/>
        <w:contextualSpacing/>
        <w:jc w:val="both"/>
        <w:rPr>
          <w:rFonts w:ascii="Arial" w:hAnsi="Arial" w:cs="Arial"/>
          <w:b/>
          <w:bCs/>
          <w:sz w:val="22"/>
          <w:szCs w:val="22"/>
        </w:rPr>
      </w:pPr>
      <w:r w:rsidRPr="005A634B">
        <w:rPr>
          <w:rFonts w:ascii="Arial" w:hAnsi="Arial" w:cs="Arial"/>
          <w:b/>
          <w:bCs/>
          <w:sz w:val="22"/>
          <w:szCs w:val="22"/>
        </w:rPr>
        <w:t>Rozvíjet firemní kulturu vstřícnou všem věkovým skupinám</w:t>
      </w:r>
    </w:p>
    <w:p w14:paraId="77F0EC3C" w14:textId="77777777" w:rsidR="00BC3DF8" w:rsidRPr="007161F0" w:rsidRDefault="00BC3DF8" w:rsidP="00BC3DF8">
      <w:pPr>
        <w:spacing w:after="120" w:line="264" w:lineRule="auto"/>
        <w:ind w:left="1418"/>
        <w:contextualSpacing/>
        <w:jc w:val="both"/>
        <w:rPr>
          <w:rFonts w:ascii="Arial" w:hAnsi="Arial" w:cs="Arial"/>
        </w:rPr>
      </w:pPr>
      <w:r w:rsidRPr="007161F0">
        <w:rPr>
          <w:rFonts w:ascii="Arial" w:hAnsi="Arial" w:cs="Arial"/>
        </w:rPr>
        <w:t>3.</w:t>
      </w:r>
      <w:r>
        <w:rPr>
          <w:rFonts w:ascii="Arial" w:hAnsi="Arial" w:cs="Arial"/>
        </w:rPr>
        <w:t>2</w:t>
      </w:r>
      <w:r w:rsidRPr="007161F0">
        <w:rPr>
          <w:rFonts w:ascii="Arial" w:hAnsi="Arial" w:cs="Arial"/>
        </w:rPr>
        <w:t xml:space="preserve">.1. Zvýšit povědomí o principu </w:t>
      </w:r>
      <w:proofErr w:type="spellStart"/>
      <w:r>
        <w:rPr>
          <w:rFonts w:ascii="Arial" w:hAnsi="Arial" w:cs="Arial"/>
        </w:rPr>
        <w:t>a</w:t>
      </w:r>
      <w:r w:rsidRPr="007161F0">
        <w:rPr>
          <w:rFonts w:ascii="Arial" w:hAnsi="Arial" w:cs="Arial"/>
        </w:rPr>
        <w:t>ge</w:t>
      </w:r>
      <w:proofErr w:type="spellEnd"/>
      <w:r w:rsidRPr="007161F0">
        <w:rPr>
          <w:rFonts w:ascii="Arial" w:hAnsi="Arial" w:cs="Arial"/>
        </w:rPr>
        <w:t xml:space="preserve"> managementu </w:t>
      </w:r>
      <w:r>
        <w:rPr>
          <w:rFonts w:ascii="Arial" w:hAnsi="Arial" w:cs="Arial"/>
        </w:rPr>
        <w:t xml:space="preserve">mezi zaměstnavateli </w:t>
      </w:r>
      <w:r w:rsidRPr="007161F0">
        <w:rPr>
          <w:rFonts w:ascii="Arial" w:hAnsi="Arial" w:cs="Arial"/>
        </w:rPr>
        <w:t>(sborník dobré praxe, projekt MPSV AM)</w:t>
      </w:r>
    </w:p>
    <w:p w14:paraId="70A3BA99" w14:textId="77777777" w:rsidR="00BC3DF8" w:rsidRDefault="00BC3DF8" w:rsidP="00BC3DF8">
      <w:pPr>
        <w:spacing w:after="120" w:line="264" w:lineRule="auto"/>
        <w:ind w:left="1418"/>
        <w:contextualSpacing/>
        <w:jc w:val="both"/>
        <w:rPr>
          <w:rFonts w:ascii="Arial" w:hAnsi="Arial" w:cs="Arial"/>
        </w:rPr>
      </w:pPr>
      <w:r w:rsidRPr="007161F0">
        <w:rPr>
          <w:rFonts w:ascii="Arial" w:hAnsi="Arial" w:cs="Arial"/>
        </w:rPr>
        <w:t>3.</w:t>
      </w:r>
      <w:r>
        <w:rPr>
          <w:rFonts w:ascii="Arial" w:hAnsi="Arial" w:cs="Arial"/>
        </w:rPr>
        <w:t>2</w:t>
      </w:r>
      <w:r w:rsidRPr="007161F0">
        <w:rPr>
          <w:rFonts w:ascii="Arial" w:hAnsi="Arial" w:cs="Arial"/>
        </w:rPr>
        <w:t xml:space="preserve">.2. </w:t>
      </w:r>
      <w:r>
        <w:rPr>
          <w:rFonts w:ascii="Arial" w:hAnsi="Arial" w:cs="Arial"/>
        </w:rPr>
        <w:t xml:space="preserve">Podporovat </w:t>
      </w:r>
      <w:proofErr w:type="gramStart"/>
      <w:r>
        <w:rPr>
          <w:rFonts w:ascii="Arial" w:hAnsi="Arial" w:cs="Arial"/>
        </w:rPr>
        <w:t>implementaci  AM</w:t>
      </w:r>
      <w:proofErr w:type="gramEnd"/>
      <w:r>
        <w:rPr>
          <w:rFonts w:ascii="Arial" w:hAnsi="Arial" w:cs="Arial"/>
        </w:rPr>
        <w:t xml:space="preserve"> do praxe a z</w:t>
      </w:r>
      <w:r w:rsidRPr="007161F0">
        <w:rPr>
          <w:rFonts w:ascii="Arial" w:hAnsi="Arial" w:cs="Arial"/>
        </w:rPr>
        <w:t xml:space="preserve">ohlednit nejnovější trendy </w:t>
      </w:r>
      <w:proofErr w:type="spellStart"/>
      <w:r>
        <w:rPr>
          <w:rFonts w:ascii="Arial" w:hAnsi="Arial" w:cs="Arial"/>
        </w:rPr>
        <w:t>a</w:t>
      </w:r>
      <w:r w:rsidRPr="007161F0">
        <w:rPr>
          <w:rFonts w:ascii="Arial" w:hAnsi="Arial" w:cs="Arial"/>
        </w:rPr>
        <w:t>ge</w:t>
      </w:r>
      <w:proofErr w:type="spellEnd"/>
      <w:r w:rsidRPr="007161F0">
        <w:rPr>
          <w:rFonts w:ascii="Arial" w:hAnsi="Arial" w:cs="Arial"/>
        </w:rPr>
        <w:t xml:space="preserve"> managementu v pracovních procesech a </w:t>
      </w:r>
      <w:r>
        <w:rPr>
          <w:rFonts w:ascii="Arial" w:hAnsi="Arial" w:cs="Arial"/>
        </w:rPr>
        <w:t xml:space="preserve">v </w:t>
      </w:r>
      <w:r w:rsidRPr="007161F0">
        <w:rPr>
          <w:rFonts w:ascii="Arial" w:hAnsi="Arial" w:cs="Arial"/>
        </w:rPr>
        <w:t>oblasti pracovního trhu (analýza, kulaté stoly v rámci projektu MPSV</w:t>
      </w:r>
      <w:r>
        <w:rPr>
          <w:rFonts w:ascii="Arial" w:hAnsi="Arial" w:cs="Arial"/>
        </w:rPr>
        <w:t>, metodická podpora a poradenství, veřejné instituce příkladem</w:t>
      </w:r>
      <w:r w:rsidRPr="007161F0">
        <w:rPr>
          <w:rFonts w:ascii="Arial" w:hAnsi="Arial" w:cs="Arial"/>
        </w:rPr>
        <w:t>)</w:t>
      </w:r>
    </w:p>
    <w:p w14:paraId="543A62B6" w14:textId="77777777" w:rsidR="00BC3DF8" w:rsidRPr="007161F0" w:rsidRDefault="00BC3DF8" w:rsidP="00BC3DF8">
      <w:pPr>
        <w:spacing w:after="120" w:line="264" w:lineRule="auto"/>
        <w:ind w:left="1418"/>
        <w:contextualSpacing/>
        <w:jc w:val="both"/>
        <w:rPr>
          <w:rFonts w:ascii="Arial" w:hAnsi="Arial" w:cs="Arial"/>
        </w:rPr>
      </w:pPr>
    </w:p>
    <w:p w14:paraId="5EE9C5F1" w14:textId="77777777" w:rsidR="00BC3DF8" w:rsidRPr="005A634B" w:rsidRDefault="00BC3DF8" w:rsidP="00BC3DF8">
      <w:pPr>
        <w:pStyle w:val="Odstavecseseznamem"/>
        <w:numPr>
          <w:ilvl w:val="1"/>
          <w:numId w:val="25"/>
        </w:numPr>
        <w:spacing w:after="120" w:line="264" w:lineRule="auto"/>
        <w:contextualSpacing/>
        <w:jc w:val="both"/>
        <w:rPr>
          <w:rFonts w:ascii="Arial" w:hAnsi="Arial" w:cs="Arial"/>
          <w:b/>
          <w:bCs/>
          <w:sz w:val="22"/>
          <w:szCs w:val="22"/>
        </w:rPr>
      </w:pPr>
      <w:r w:rsidRPr="005A634B">
        <w:rPr>
          <w:rFonts w:ascii="Arial" w:hAnsi="Arial" w:cs="Arial"/>
          <w:b/>
          <w:bCs/>
          <w:sz w:val="22"/>
          <w:szCs w:val="22"/>
        </w:rPr>
        <w:t>Rozvíjet nabídku celoživotního učení zaměřenou na adaptabilitu na trh práce</w:t>
      </w:r>
    </w:p>
    <w:p w14:paraId="5C6E9DBE" w14:textId="77777777" w:rsidR="00BC3DF8" w:rsidRPr="005A634B" w:rsidRDefault="00BC3DF8" w:rsidP="00BC3DF8">
      <w:pPr>
        <w:pStyle w:val="Odstavecseseznamem"/>
        <w:numPr>
          <w:ilvl w:val="2"/>
          <w:numId w:val="25"/>
        </w:numPr>
        <w:spacing w:after="120" w:line="264" w:lineRule="auto"/>
        <w:contextualSpacing/>
        <w:jc w:val="both"/>
        <w:rPr>
          <w:rFonts w:ascii="Arial" w:hAnsi="Arial" w:cs="Arial"/>
          <w:sz w:val="22"/>
          <w:szCs w:val="22"/>
        </w:rPr>
      </w:pPr>
      <w:r w:rsidRPr="0001178E">
        <w:rPr>
          <w:rFonts w:ascii="Arial" w:hAnsi="Arial" w:cs="Arial"/>
        </w:rPr>
        <w:t>Podporovat rozvoj celoživotního vzdělávání v digitálních technologiích   ve městech i na venkově (digitální kompetence, dotační titul MMR)</w:t>
      </w:r>
    </w:p>
    <w:p w14:paraId="1AA665D5" w14:textId="77777777" w:rsidR="00BC3DF8" w:rsidRPr="0001178E" w:rsidRDefault="00BC3DF8" w:rsidP="00BC3DF8">
      <w:pPr>
        <w:pStyle w:val="Odstavecseseznamem"/>
        <w:spacing w:after="120" w:line="264" w:lineRule="auto"/>
        <w:ind w:left="1932"/>
        <w:contextualSpacing/>
        <w:jc w:val="both"/>
        <w:rPr>
          <w:rFonts w:ascii="Arial" w:hAnsi="Arial" w:cs="Arial"/>
          <w:sz w:val="22"/>
          <w:szCs w:val="22"/>
        </w:rPr>
      </w:pPr>
    </w:p>
    <w:p w14:paraId="7C9D4DC1" w14:textId="77777777" w:rsidR="00BC3DF8" w:rsidRPr="00195460" w:rsidRDefault="00BC3DF8" w:rsidP="00BC3DF8">
      <w:pPr>
        <w:pStyle w:val="Podnadpis"/>
        <w:spacing w:before="120" w:after="120" w:line="276" w:lineRule="auto"/>
        <w:ind w:left="502"/>
        <w:rPr>
          <w:rFonts w:ascii="Arial" w:hAnsi="Arial" w:cs="Arial"/>
          <w:color w:val="002060"/>
          <w:sz w:val="22"/>
          <w:szCs w:val="22"/>
        </w:rPr>
      </w:pPr>
      <w:r w:rsidRPr="00195460">
        <w:rPr>
          <w:rFonts w:ascii="Arial" w:hAnsi="Arial" w:cs="Arial"/>
          <w:color w:val="002060"/>
          <w:sz w:val="22"/>
          <w:szCs w:val="22"/>
        </w:rPr>
        <w:t>4. Podporovat bezpečný život starších osob</w:t>
      </w:r>
    </w:p>
    <w:p w14:paraId="39BCD9DA" w14:textId="77777777" w:rsidR="00BC3DF8" w:rsidRPr="005A634B" w:rsidRDefault="00BC3DF8" w:rsidP="00BC3DF8">
      <w:pPr>
        <w:pStyle w:val="Odstavecseseznamem"/>
        <w:numPr>
          <w:ilvl w:val="1"/>
          <w:numId w:val="26"/>
        </w:numPr>
        <w:spacing w:after="0" w:line="264" w:lineRule="auto"/>
        <w:ind w:left="1644"/>
        <w:contextualSpacing/>
        <w:jc w:val="both"/>
        <w:rPr>
          <w:rFonts w:ascii="Arial" w:hAnsi="Arial" w:cs="Arial"/>
          <w:b/>
          <w:bCs/>
          <w:sz w:val="22"/>
          <w:szCs w:val="22"/>
        </w:rPr>
      </w:pPr>
      <w:r w:rsidRPr="005A634B">
        <w:rPr>
          <w:rFonts w:ascii="Arial" w:hAnsi="Arial" w:cs="Arial"/>
          <w:b/>
          <w:bCs/>
          <w:sz w:val="22"/>
          <w:szCs w:val="22"/>
        </w:rPr>
        <w:t>Realizovat aktivity zaměřené na prevenci kriminality ve vztahu k seniorské populaci</w:t>
      </w:r>
    </w:p>
    <w:p w14:paraId="1CFE5A09" w14:textId="77777777" w:rsidR="00BC3DF8" w:rsidRPr="007F500F" w:rsidRDefault="00BC3DF8" w:rsidP="00BC3DF8">
      <w:pPr>
        <w:pStyle w:val="Odstavecseseznamem"/>
        <w:numPr>
          <w:ilvl w:val="2"/>
          <w:numId w:val="26"/>
        </w:numPr>
        <w:spacing w:after="0" w:line="264" w:lineRule="auto"/>
        <w:contextualSpacing/>
        <w:jc w:val="both"/>
        <w:rPr>
          <w:rFonts w:ascii="Arial" w:hAnsi="Arial" w:cs="Arial"/>
          <w:sz w:val="22"/>
          <w:szCs w:val="22"/>
        </w:rPr>
      </w:pPr>
      <w:r w:rsidRPr="007F500F">
        <w:rPr>
          <w:rFonts w:ascii="Arial" w:hAnsi="Arial" w:cs="Arial"/>
        </w:rPr>
        <w:t>Zajistit preventivní činnosti sociální práce ve veřejné správě ve vztahu k seniorům.  (posílení depistážní činnosti)</w:t>
      </w:r>
    </w:p>
    <w:p w14:paraId="64D0DCF0" w14:textId="77777777" w:rsidR="00BC3DF8" w:rsidRPr="007F500F" w:rsidRDefault="00BC3DF8" w:rsidP="00BC3DF8">
      <w:pPr>
        <w:pStyle w:val="Odstavecseseznamem"/>
        <w:numPr>
          <w:ilvl w:val="2"/>
          <w:numId w:val="26"/>
        </w:numPr>
        <w:spacing w:after="0" w:line="264" w:lineRule="auto"/>
        <w:contextualSpacing/>
        <w:jc w:val="both"/>
        <w:rPr>
          <w:rFonts w:ascii="Arial" w:hAnsi="Arial" w:cs="Arial"/>
          <w:sz w:val="22"/>
          <w:szCs w:val="22"/>
        </w:rPr>
      </w:pPr>
      <w:r w:rsidRPr="007F500F">
        <w:rPr>
          <w:rFonts w:ascii="Arial" w:hAnsi="Arial" w:cs="Arial"/>
        </w:rPr>
        <w:t>Posilovat prevenci kriminality ve vztahu k seniorům (metodika, besedy, kulaté stoly</w:t>
      </w:r>
      <w:r>
        <w:rPr>
          <w:rFonts w:ascii="Arial" w:hAnsi="Arial" w:cs="Arial"/>
        </w:rPr>
        <w:t>, osvěta veřejnosti</w:t>
      </w:r>
      <w:r w:rsidRPr="007F500F">
        <w:rPr>
          <w:rFonts w:ascii="Arial" w:hAnsi="Arial" w:cs="Arial"/>
        </w:rPr>
        <w:t xml:space="preserve">) </w:t>
      </w:r>
    </w:p>
    <w:p w14:paraId="3BB8E2F1" w14:textId="4A9F84C2" w:rsidR="00BC3DF8" w:rsidRPr="007F500F" w:rsidRDefault="00BC3DF8" w:rsidP="00BC3DF8">
      <w:pPr>
        <w:pStyle w:val="Odstavecseseznamem"/>
        <w:numPr>
          <w:ilvl w:val="2"/>
          <w:numId w:val="26"/>
        </w:numPr>
        <w:spacing w:after="0" w:line="264" w:lineRule="auto"/>
        <w:contextualSpacing/>
        <w:jc w:val="both"/>
        <w:rPr>
          <w:rFonts w:ascii="Arial" w:hAnsi="Arial" w:cs="Arial"/>
          <w:sz w:val="22"/>
          <w:szCs w:val="22"/>
        </w:rPr>
      </w:pPr>
      <w:r w:rsidRPr="007F500F">
        <w:rPr>
          <w:rFonts w:ascii="Arial" w:hAnsi="Arial" w:cs="Arial"/>
        </w:rPr>
        <w:lastRenderedPageBreak/>
        <w:t xml:space="preserve">Zvýšit povědomí a ochranu seniorů před všemi formami diskriminace ve všech oblastech </w:t>
      </w:r>
    </w:p>
    <w:p w14:paraId="3EE705C7" w14:textId="77777777" w:rsidR="00BC3DF8" w:rsidRPr="007161F0" w:rsidRDefault="00BC3DF8" w:rsidP="00BC3DF8">
      <w:pPr>
        <w:spacing w:before="120" w:after="120"/>
        <w:ind w:left="1418"/>
        <w:contextualSpacing/>
        <w:jc w:val="both"/>
        <w:rPr>
          <w:rFonts w:ascii="Arial" w:hAnsi="Arial" w:cs="Arial"/>
        </w:rPr>
      </w:pPr>
    </w:p>
    <w:p w14:paraId="3FD56F0C" w14:textId="77777777" w:rsidR="00BC3DF8" w:rsidRPr="005A634B" w:rsidRDefault="00BC3DF8" w:rsidP="00BC3DF8">
      <w:pPr>
        <w:spacing w:before="120" w:after="0"/>
        <w:contextualSpacing/>
        <w:jc w:val="both"/>
        <w:rPr>
          <w:rFonts w:ascii="Arial" w:hAnsi="Arial" w:cs="Arial"/>
          <w:b/>
          <w:bCs/>
        </w:rPr>
      </w:pPr>
      <w:r w:rsidRPr="007161F0">
        <w:rPr>
          <w:rFonts w:ascii="Arial" w:hAnsi="Arial" w:cs="Arial"/>
        </w:rPr>
        <w:t xml:space="preserve">                   4.</w:t>
      </w:r>
      <w:r>
        <w:rPr>
          <w:rFonts w:ascii="Arial" w:hAnsi="Arial" w:cs="Arial"/>
        </w:rPr>
        <w:t>2</w:t>
      </w:r>
      <w:r w:rsidRPr="007161F0">
        <w:rPr>
          <w:rFonts w:ascii="Arial" w:hAnsi="Arial" w:cs="Arial"/>
        </w:rPr>
        <w:t xml:space="preserve"> </w:t>
      </w:r>
      <w:r w:rsidRPr="009E62CA">
        <w:rPr>
          <w:rFonts w:ascii="Arial" w:hAnsi="Arial" w:cs="Arial"/>
          <w:b/>
          <w:bCs/>
        </w:rPr>
        <w:t xml:space="preserve">Podporovat prostředí příznivější pro všechny věkové </w:t>
      </w:r>
      <w:proofErr w:type="gramStart"/>
      <w:r w:rsidRPr="009E62CA">
        <w:rPr>
          <w:rFonts w:ascii="Arial" w:hAnsi="Arial" w:cs="Arial"/>
          <w:b/>
          <w:bCs/>
        </w:rPr>
        <w:t>skupiny  a</w:t>
      </w:r>
      <w:proofErr w:type="gramEnd"/>
      <w:r w:rsidRPr="009E62CA">
        <w:rPr>
          <w:rFonts w:ascii="Arial" w:hAnsi="Arial" w:cs="Arial"/>
          <w:b/>
          <w:bCs/>
        </w:rPr>
        <w:t xml:space="preserve"> </w:t>
      </w:r>
      <w:r>
        <w:rPr>
          <w:rFonts w:ascii="Arial" w:hAnsi="Arial" w:cs="Arial"/>
          <w:b/>
          <w:bCs/>
        </w:rPr>
        <w:t>b</w:t>
      </w:r>
      <w:r w:rsidRPr="005A634B">
        <w:rPr>
          <w:rFonts w:ascii="Arial" w:hAnsi="Arial" w:cs="Arial"/>
          <w:b/>
          <w:bCs/>
        </w:rPr>
        <w:t>udovat bezbariérový veřejný prostor</w:t>
      </w:r>
      <w:r>
        <w:rPr>
          <w:rFonts w:ascii="Arial" w:hAnsi="Arial" w:cs="Arial"/>
          <w:b/>
          <w:bCs/>
        </w:rPr>
        <w:t xml:space="preserve"> </w:t>
      </w:r>
    </w:p>
    <w:p w14:paraId="7A11EB55" w14:textId="77777777" w:rsidR="00BC3DF8" w:rsidRPr="007161F0" w:rsidRDefault="00BC3DF8" w:rsidP="00BC3DF8">
      <w:pPr>
        <w:spacing w:after="120"/>
        <w:ind w:left="1418"/>
        <w:contextualSpacing/>
        <w:jc w:val="both"/>
        <w:rPr>
          <w:rFonts w:ascii="Arial" w:hAnsi="Arial" w:cs="Arial"/>
        </w:rPr>
      </w:pPr>
      <w:r w:rsidRPr="007161F0">
        <w:rPr>
          <w:rFonts w:ascii="Arial" w:hAnsi="Arial" w:cs="Arial"/>
        </w:rPr>
        <w:t>4.</w:t>
      </w:r>
      <w:r>
        <w:rPr>
          <w:rFonts w:ascii="Arial" w:hAnsi="Arial" w:cs="Arial"/>
        </w:rPr>
        <w:t>2</w:t>
      </w:r>
      <w:r w:rsidRPr="007161F0">
        <w:rPr>
          <w:rFonts w:ascii="Arial" w:hAnsi="Arial" w:cs="Arial"/>
        </w:rPr>
        <w:t>.1. Podporovat tvorbu</w:t>
      </w:r>
      <w:r>
        <w:rPr>
          <w:rFonts w:ascii="Arial" w:hAnsi="Arial" w:cs="Arial"/>
        </w:rPr>
        <w:t xml:space="preserve">, </w:t>
      </w:r>
      <w:r w:rsidRPr="007161F0">
        <w:rPr>
          <w:rFonts w:ascii="Arial" w:hAnsi="Arial" w:cs="Arial"/>
        </w:rPr>
        <w:t xml:space="preserve">aktualizaci </w:t>
      </w:r>
      <w:r>
        <w:rPr>
          <w:rFonts w:ascii="Arial" w:hAnsi="Arial" w:cs="Arial"/>
        </w:rPr>
        <w:t xml:space="preserve">a povědomí o </w:t>
      </w:r>
      <w:r w:rsidRPr="007161F0">
        <w:rPr>
          <w:rFonts w:ascii="Arial" w:hAnsi="Arial" w:cs="Arial"/>
        </w:rPr>
        <w:t>bezbariérových map</w:t>
      </w:r>
      <w:r>
        <w:rPr>
          <w:rFonts w:ascii="Arial" w:hAnsi="Arial" w:cs="Arial"/>
        </w:rPr>
        <w:t>ách</w:t>
      </w:r>
      <w:r w:rsidRPr="007161F0">
        <w:rPr>
          <w:rFonts w:ascii="Arial" w:hAnsi="Arial" w:cs="Arial"/>
        </w:rPr>
        <w:t xml:space="preserve"> obcí vč. zpracování</w:t>
      </w:r>
      <w:r>
        <w:rPr>
          <w:rFonts w:ascii="Arial" w:hAnsi="Arial" w:cs="Arial"/>
        </w:rPr>
        <w:t xml:space="preserve"> </w:t>
      </w:r>
      <w:r w:rsidRPr="007161F0">
        <w:rPr>
          <w:rFonts w:ascii="Arial" w:hAnsi="Arial" w:cs="Arial"/>
        </w:rPr>
        <w:t>analýzy komunitního mapování (</w:t>
      </w:r>
      <w:proofErr w:type="gramStart"/>
      <w:r w:rsidRPr="007161F0">
        <w:rPr>
          <w:rFonts w:ascii="Arial" w:hAnsi="Arial" w:cs="Arial"/>
        </w:rPr>
        <w:t xml:space="preserve">nový </w:t>
      </w:r>
      <w:r>
        <w:rPr>
          <w:rFonts w:ascii="Arial" w:hAnsi="Arial" w:cs="Arial"/>
        </w:rPr>
        <w:t xml:space="preserve"> </w:t>
      </w:r>
      <w:r w:rsidRPr="007161F0">
        <w:rPr>
          <w:rFonts w:ascii="Arial" w:hAnsi="Arial" w:cs="Arial"/>
        </w:rPr>
        <w:t>dotační</w:t>
      </w:r>
      <w:proofErr w:type="gramEnd"/>
      <w:r w:rsidRPr="007161F0">
        <w:rPr>
          <w:rFonts w:ascii="Arial" w:hAnsi="Arial" w:cs="Arial"/>
        </w:rPr>
        <w:t xml:space="preserve"> titul MMR, tvorba map,</w:t>
      </w:r>
      <w:r>
        <w:rPr>
          <w:rFonts w:ascii="Arial" w:hAnsi="Arial" w:cs="Arial"/>
        </w:rPr>
        <w:t xml:space="preserve"> </w:t>
      </w:r>
      <w:r w:rsidRPr="007161F0">
        <w:rPr>
          <w:rFonts w:ascii="Arial" w:hAnsi="Arial" w:cs="Arial"/>
        </w:rPr>
        <w:t xml:space="preserve">rozšíření stávajícího DT MMR, </w:t>
      </w:r>
      <w:r>
        <w:rPr>
          <w:rFonts w:ascii="Arial" w:hAnsi="Arial" w:cs="Arial"/>
        </w:rPr>
        <w:t xml:space="preserve"> </w:t>
      </w:r>
      <w:r w:rsidRPr="007161F0">
        <w:rPr>
          <w:rFonts w:ascii="Arial" w:hAnsi="Arial" w:cs="Arial"/>
        </w:rPr>
        <w:t>bezbariérové zóny</w:t>
      </w:r>
      <w:r>
        <w:rPr>
          <w:rFonts w:ascii="Arial" w:hAnsi="Arial" w:cs="Arial"/>
        </w:rPr>
        <w:t>)</w:t>
      </w:r>
    </w:p>
    <w:p w14:paraId="1C7E2321" w14:textId="77777777" w:rsidR="00BC3DF8" w:rsidRDefault="00BC3DF8" w:rsidP="00BC3DF8">
      <w:pPr>
        <w:spacing w:before="120" w:after="120"/>
        <w:ind w:left="1418"/>
        <w:contextualSpacing/>
        <w:jc w:val="both"/>
        <w:rPr>
          <w:rFonts w:ascii="Arial" w:hAnsi="Arial" w:cs="Arial"/>
        </w:rPr>
      </w:pPr>
      <w:r w:rsidRPr="007161F0">
        <w:rPr>
          <w:rFonts w:ascii="Arial" w:hAnsi="Arial" w:cs="Arial"/>
        </w:rPr>
        <w:t>4.</w:t>
      </w:r>
      <w:r>
        <w:rPr>
          <w:rFonts w:ascii="Arial" w:hAnsi="Arial" w:cs="Arial"/>
        </w:rPr>
        <w:t>2</w:t>
      </w:r>
      <w:r w:rsidRPr="007161F0">
        <w:rPr>
          <w:rFonts w:ascii="Arial" w:hAnsi="Arial" w:cs="Arial"/>
        </w:rPr>
        <w:t xml:space="preserve">.2. Komplexně podporovat téma </w:t>
      </w:r>
      <w:proofErr w:type="spellStart"/>
      <w:r w:rsidRPr="007161F0">
        <w:rPr>
          <w:rFonts w:ascii="Arial" w:hAnsi="Arial" w:cs="Arial"/>
        </w:rPr>
        <w:t>smart</w:t>
      </w:r>
      <w:proofErr w:type="spellEnd"/>
      <w:r w:rsidRPr="007161F0">
        <w:rPr>
          <w:rFonts w:ascii="Arial" w:hAnsi="Arial" w:cs="Arial"/>
        </w:rPr>
        <w:t xml:space="preserve"> city (doporučení, DT MMR)</w:t>
      </w:r>
    </w:p>
    <w:p w14:paraId="2E165738" w14:textId="77777777" w:rsidR="00BC3DF8" w:rsidRPr="007161F0" w:rsidRDefault="00BC3DF8" w:rsidP="00BC3DF8">
      <w:pPr>
        <w:spacing w:after="120"/>
        <w:ind w:left="1418"/>
        <w:contextualSpacing/>
        <w:jc w:val="both"/>
        <w:rPr>
          <w:rFonts w:ascii="Arial" w:hAnsi="Arial" w:cs="Arial"/>
        </w:rPr>
      </w:pPr>
      <w:r>
        <w:rPr>
          <w:rFonts w:ascii="Arial" w:hAnsi="Arial" w:cs="Arial"/>
        </w:rPr>
        <w:t xml:space="preserve">4.2.4. </w:t>
      </w:r>
      <w:r w:rsidRPr="007161F0">
        <w:rPr>
          <w:rFonts w:ascii="Arial" w:hAnsi="Arial" w:cs="Arial"/>
        </w:rPr>
        <w:t xml:space="preserve">Podporovat bezbariérovou veřejnou dopravu nejen na venkově ale i  </w:t>
      </w:r>
    </w:p>
    <w:p w14:paraId="2A1CDBF5" w14:textId="77777777" w:rsidR="00BC3DF8" w:rsidRDefault="00BC3DF8" w:rsidP="00BC3DF8">
      <w:pPr>
        <w:spacing w:before="120" w:after="120"/>
        <w:ind w:left="1418"/>
        <w:contextualSpacing/>
        <w:jc w:val="both"/>
        <w:rPr>
          <w:rFonts w:ascii="Arial" w:hAnsi="Arial" w:cs="Arial"/>
        </w:rPr>
      </w:pPr>
      <w:r w:rsidRPr="007161F0">
        <w:rPr>
          <w:rFonts w:ascii="Arial" w:hAnsi="Arial" w:cs="Arial"/>
        </w:rPr>
        <w:t xml:space="preserve">          ve městech (doporučení, podpora provozu, personální kapacity, jedná </w:t>
      </w:r>
      <w:r>
        <w:rPr>
          <w:rFonts w:ascii="Arial" w:hAnsi="Arial" w:cs="Arial"/>
        </w:rPr>
        <w:t xml:space="preserve"> </w:t>
      </w:r>
    </w:p>
    <w:p w14:paraId="302F0CF6" w14:textId="77777777" w:rsidR="00BC3DF8" w:rsidRDefault="00BC3DF8" w:rsidP="00BC3DF8">
      <w:pPr>
        <w:spacing w:before="120" w:after="120"/>
        <w:ind w:left="1418"/>
        <w:contextualSpacing/>
        <w:jc w:val="both"/>
        <w:rPr>
          <w:rFonts w:ascii="Arial" w:hAnsi="Arial" w:cs="Arial"/>
        </w:rPr>
      </w:pPr>
      <w:r>
        <w:rPr>
          <w:rFonts w:ascii="Arial" w:hAnsi="Arial" w:cs="Arial"/>
        </w:rPr>
        <w:t xml:space="preserve">          </w:t>
      </w:r>
      <w:r w:rsidRPr="007161F0">
        <w:rPr>
          <w:rFonts w:ascii="Arial" w:hAnsi="Arial" w:cs="Arial"/>
        </w:rPr>
        <w:t>se</w:t>
      </w:r>
      <w:r>
        <w:rPr>
          <w:rFonts w:ascii="Arial" w:hAnsi="Arial" w:cs="Arial"/>
        </w:rPr>
        <w:t xml:space="preserve"> </w:t>
      </w:r>
      <w:r w:rsidRPr="007161F0">
        <w:rPr>
          <w:rFonts w:ascii="Arial" w:hAnsi="Arial" w:cs="Arial"/>
        </w:rPr>
        <w:t>o dotační titul)</w:t>
      </w:r>
    </w:p>
    <w:p w14:paraId="181113BC" w14:textId="77777777" w:rsidR="00BC3DF8" w:rsidRPr="007161F0" w:rsidRDefault="00BC3DF8" w:rsidP="00BC3DF8">
      <w:pPr>
        <w:spacing w:before="120" w:after="120"/>
        <w:ind w:left="1418"/>
        <w:contextualSpacing/>
        <w:jc w:val="both"/>
        <w:rPr>
          <w:rFonts w:ascii="Arial" w:hAnsi="Arial" w:cs="Arial"/>
        </w:rPr>
      </w:pPr>
    </w:p>
    <w:p w14:paraId="622EC905" w14:textId="77777777" w:rsidR="00BC3DF8" w:rsidRPr="007161F0" w:rsidRDefault="00BC3DF8" w:rsidP="00BC3DF8">
      <w:pPr>
        <w:pStyle w:val="Podnadpis"/>
        <w:spacing w:before="120" w:after="120" w:line="276" w:lineRule="auto"/>
        <w:ind w:left="502"/>
        <w:rPr>
          <w:rFonts w:ascii="Arial" w:hAnsi="Arial" w:cs="Arial"/>
          <w:b w:val="0"/>
          <w:bCs w:val="0"/>
          <w:color w:val="2E74B5" w:themeColor="accent1" w:themeShade="BF"/>
          <w:sz w:val="22"/>
          <w:szCs w:val="22"/>
        </w:rPr>
      </w:pPr>
      <w:r>
        <w:rPr>
          <w:rFonts w:ascii="Arial" w:hAnsi="Arial" w:cs="Arial"/>
          <w:b w:val="0"/>
          <w:bCs w:val="0"/>
          <w:color w:val="2E74B5" w:themeColor="accent1" w:themeShade="BF"/>
          <w:sz w:val="22"/>
          <w:szCs w:val="22"/>
        </w:rPr>
        <w:t xml:space="preserve"> 5. </w:t>
      </w:r>
      <w:r w:rsidRPr="004928E1">
        <w:rPr>
          <w:rFonts w:ascii="Arial" w:hAnsi="Arial" w:cs="Arial"/>
          <w:color w:val="002060"/>
          <w:sz w:val="22"/>
          <w:szCs w:val="22"/>
        </w:rPr>
        <w:t xml:space="preserve">Podporovat důstojné zajištění ve stáří                                                                                                                                                                                                                         </w:t>
      </w:r>
    </w:p>
    <w:p w14:paraId="37E2A7B9" w14:textId="77777777" w:rsidR="00BC3DF8" w:rsidRPr="009E62CA" w:rsidRDefault="00BC3DF8" w:rsidP="00BC3DF8">
      <w:pPr>
        <w:spacing w:before="120" w:after="0"/>
        <w:contextualSpacing/>
        <w:jc w:val="both"/>
        <w:rPr>
          <w:rFonts w:ascii="Arial" w:hAnsi="Arial" w:cs="Arial"/>
          <w:b/>
          <w:bCs/>
          <w:sz w:val="24"/>
          <w:szCs w:val="24"/>
        </w:rPr>
      </w:pPr>
      <w:r w:rsidRPr="005C250E">
        <w:rPr>
          <w:rFonts w:ascii="Arial" w:hAnsi="Arial" w:cs="Arial"/>
        </w:rPr>
        <w:t xml:space="preserve">               5.1. </w:t>
      </w:r>
      <w:r w:rsidRPr="009E62CA">
        <w:rPr>
          <w:rFonts w:ascii="Arial" w:hAnsi="Arial" w:cs="Arial"/>
          <w:b/>
          <w:bCs/>
        </w:rPr>
        <w:t>Zajistit nastavení penzijního systému umožňující kvalitní život seniorů a seniorek</w:t>
      </w:r>
    </w:p>
    <w:p w14:paraId="0D49350F" w14:textId="77777777" w:rsidR="00BC3DF8" w:rsidRPr="007161F0" w:rsidRDefault="00BC3DF8" w:rsidP="00BC3DF8">
      <w:pPr>
        <w:spacing w:after="120"/>
        <w:ind w:left="1418"/>
        <w:contextualSpacing/>
        <w:jc w:val="both"/>
        <w:rPr>
          <w:rFonts w:ascii="Arial" w:hAnsi="Arial" w:cs="Arial"/>
        </w:rPr>
      </w:pPr>
      <w:r w:rsidRPr="007161F0">
        <w:rPr>
          <w:rFonts w:ascii="Arial" w:hAnsi="Arial" w:cs="Arial"/>
        </w:rPr>
        <w:t xml:space="preserve">  5.1.1. Připravit dřívější odchod do důchodu pro zaměstnance pracující  </w:t>
      </w:r>
    </w:p>
    <w:p w14:paraId="4C85338D"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v náročných profesích (novela zákona o důchodovém pojištění)</w:t>
      </w:r>
    </w:p>
    <w:p w14:paraId="79333980" w14:textId="689B466F" w:rsidR="00BC3DF8" w:rsidRPr="007161F0" w:rsidRDefault="00BC3DF8" w:rsidP="003E5D48">
      <w:pPr>
        <w:spacing w:before="120" w:after="120"/>
        <w:ind w:left="1418"/>
        <w:contextualSpacing/>
        <w:jc w:val="both"/>
        <w:rPr>
          <w:rFonts w:ascii="Arial" w:hAnsi="Arial" w:cs="Arial"/>
        </w:rPr>
      </w:pPr>
      <w:r w:rsidRPr="007161F0">
        <w:rPr>
          <w:rFonts w:ascii="Arial" w:hAnsi="Arial" w:cs="Arial"/>
        </w:rPr>
        <w:t xml:space="preserve">  5.1.2. </w:t>
      </w:r>
      <w:r w:rsidR="006F6671">
        <w:rPr>
          <w:rFonts w:ascii="Arial" w:hAnsi="Arial" w:cs="Arial"/>
        </w:rPr>
        <w:t>Usilovat o další snižování</w:t>
      </w:r>
      <w:r w:rsidRPr="007161F0">
        <w:rPr>
          <w:rFonts w:ascii="Arial" w:hAnsi="Arial" w:cs="Arial"/>
        </w:rPr>
        <w:t xml:space="preserve"> rozdíl</w:t>
      </w:r>
      <w:r w:rsidR="006F6671">
        <w:rPr>
          <w:rFonts w:ascii="Arial" w:hAnsi="Arial" w:cs="Arial"/>
        </w:rPr>
        <w:t>ů</w:t>
      </w:r>
      <w:r w:rsidRPr="007161F0">
        <w:rPr>
          <w:rFonts w:ascii="Arial" w:hAnsi="Arial" w:cs="Arial"/>
        </w:rPr>
        <w:t xml:space="preserve"> mezi důchody mužů a žen (</w:t>
      </w:r>
      <w:r w:rsidR="006F6671">
        <w:rPr>
          <w:rFonts w:ascii="Arial" w:hAnsi="Arial" w:cs="Arial"/>
        </w:rPr>
        <w:t xml:space="preserve">zákoník práce – eliminace rozdílů v platech, </w:t>
      </w:r>
      <w:r w:rsidRPr="007161F0">
        <w:rPr>
          <w:rFonts w:ascii="Arial" w:hAnsi="Arial" w:cs="Arial"/>
        </w:rPr>
        <w:t>zákon o důchodovém pojištění)</w:t>
      </w:r>
    </w:p>
    <w:p w14:paraId="3BF3D96B" w14:textId="258A5A71" w:rsidR="00BC3DF8" w:rsidRPr="007161F0" w:rsidRDefault="00BC3DF8">
      <w:pPr>
        <w:spacing w:before="120" w:after="120"/>
        <w:ind w:left="1418"/>
        <w:contextualSpacing/>
        <w:jc w:val="both"/>
        <w:rPr>
          <w:rFonts w:ascii="Arial" w:hAnsi="Arial" w:cs="Arial"/>
        </w:rPr>
      </w:pPr>
      <w:r w:rsidRPr="007161F0">
        <w:rPr>
          <w:rFonts w:ascii="Arial" w:hAnsi="Arial" w:cs="Arial"/>
        </w:rPr>
        <w:t xml:space="preserve">  5.1.3. Zajistit pravidelné vyhodnocování poměru</w:t>
      </w:r>
      <w:r w:rsidR="006F6671">
        <w:rPr>
          <w:rFonts w:ascii="Arial" w:hAnsi="Arial" w:cs="Arial"/>
        </w:rPr>
        <w:t xml:space="preserve"> </w:t>
      </w:r>
      <w:r w:rsidRPr="007161F0">
        <w:rPr>
          <w:rFonts w:ascii="Arial" w:hAnsi="Arial" w:cs="Arial"/>
        </w:rPr>
        <w:t>starobních důchodů k průměrné mzdě (nařízení vlády)</w:t>
      </w:r>
    </w:p>
    <w:p w14:paraId="14E8A4C2"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5.1.4. Rozšířit informování občanů na </w:t>
      </w:r>
      <w:proofErr w:type="spellStart"/>
      <w:r>
        <w:rPr>
          <w:rFonts w:ascii="Arial" w:hAnsi="Arial" w:cs="Arial"/>
        </w:rPr>
        <w:t>na</w:t>
      </w:r>
      <w:proofErr w:type="spellEnd"/>
      <w:r>
        <w:rPr>
          <w:rFonts w:ascii="Arial" w:hAnsi="Arial" w:cs="Arial"/>
        </w:rPr>
        <w:t xml:space="preserve"> webu MPSV a </w:t>
      </w:r>
      <w:proofErr w:type="spellStart"/>
      <w:r w:rsidRPr="007161F0">
        <w:rPr>
          <w:rFonts w:ascii="Arial" w:hAnsi="Arial" w:cs="Arial"/>
        </w:rPr>
        <w:t>ePortálu</w:t>
      </w:r>
      <w:proofErr w:type="spellEnd"/>
      <w:r w:rsidRPr="007161F0">
        <w:rPr>
          <w:rFonts w:ascii="Arial" w:hAnsi="Arial" w:cs="Arial"/>
        </w:rPr>
        <w:t xml:space="preserve"> ČSSZ a jeho rozšíření o další  </w:t>
      </w:r>
    </w:p>
    <w:p w14:paraId="3C055382" w14:textId="77777777" w:rsidR="00BC3DF8" w:rsidRPr="007161F0" w:rsidRDefault="00BC3DF8" w:rsidP="00BC3DF8">
      <w:pPr>
        <w:spacing w:before="120" w:after="0"/>
        <w:ind w:left="1418"/>
        <w:contextualSpacing/>
        <w:jc w:val="both"/>
        <w:rPr>
          <w:rFonts w:ascii="Arial" w:hAnsi="Arial" w:cs="Arial"/>
        </w:rPr>
      </w:pPr>
      <w:r w:rsidRPr="007161F0">
        <w:rPr>
          <w:rFonts w:ascii="Arial" w:hAnsi="Arial" w:cs="Arial"/>
        </w:rPr>
        <w:t xml:space="preserve">            informace (poskytování transparentních informací)</w:t>
      </w:r>
    </w:p>
    <w:p w14:paraId="33618270"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5.1.5. V rámci daňového systému a systému důchodového pojištění             </w:t>
      </w:r>
    </w:p>
    <w:p w14:paraId="3ED5BEDB"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identifikovat možné zdroje pro podporu finanční stability státního </w:t>
      </w:r>
    </w:p>
    <w:p w14:paraId="2907ABEE" w14:textId="77777777" w:rsidR="00BC3DF8" w:rsidRDefault="00BC3DF8" w:rsidP="00BC3DF8">
      <w:pPr>
        <w:spacing w:before="120" w:after="120"/>
        <w:ind w:left="1418"/>
        <w:contextualSpacing/>
        <w:jc w:val="both"/>
        <w:rPr>
          <w:rFonts w:ascii="Arial" w:hAnsi="Arial" w:cs="Arial"/>
        </w:rPr>
      </w:pPr>
      <w:r w:rsidRPr="007161F0">
        <w:rPr>
          <w:rFonts w:ascii="Arial" w:hAnsi="Arial" w:cs="Arial"/>
        </w:rPr>
        <w:t xml:space="preserve">            rozpočtu (analýza)</w:t>
      </w:r>
    </w:p>
    <w:p w14:paraId="265B912B" w14:textId="77777777" w:rsidR="00BC3DF8" w:rsidRPr="00FB352E" w:rsidRDefault="00BC3DF8" w:rsidP="00BC3DF8">
      <w:pPr>
        <w:spacing w:before="120" w:after="120"/>
        <w:ind w:left="1418"/>
        <w:contextualSpacing/>
        <w:jc w:val="both"/>
        <w:rPr>
          <w:rFonts w:ascii="Arial" w:hAnsi="Arial" w:cs="Arial"/>
        </w:rPr>
      </w:pPr>
    </w:p>
    <w:p w14:paraId="21DCF1F2" w14:textId="77777777" w:rsidR="00BC3DF8" w:rsidRPr="009E62CA" w:rsidRDefault="00BC3DF8" w:rsidP="00BC3DF8">
      <w:pPr>
        <w:spacing w:before="240" w:after="120"/>
        <w:contextualSpacing/>
        <w:jc w:val="both"/>
        <w:rPr>
          <w:rFonts w:ascii="Arial" w:hAnsi="Arial" w:cs="Arial"/>
          <w:b/>
          <w:bCs/>
          <w:strike/>
        </w:rPr>
      </w:pPr>
      <w:r>
        <w:rPr>
          <w:rFonts w:ascii="Arial" w:hAnsi="Arial" w:cs="Arial"/>
        </w:rPr>
        <w:t xml:space="preserve">            </w:t>
      </w:r>
      <w:r w:rsidRPr="00F74523">
        <w:rPr>
          <w:rFonts w:ascii="Arial" w:hAnsi="Arial" w:cs="Arial"/>
        </w:rPr>
        <w:t>5.</w:t>
      </w:r>
      <w:r w:rsidRPr="009E62CA">
        <w:rPr>
          <w:rFonts w:ascii="Arial" w:hAnsi="Arial" w:cs="Arial"/>
          <w:b/>
          <w:bCs/>
        </w:rPr>
        <w:t xml:space="preserve">2. Zajistit dostupnost sociálně zdravotních služeb umožňující důstojný život i pro osoby vyžadující pomoc </w:t>
      </w:r>
      <w:r>
        <w:rPr>
          <w:rFonts w:ascii="Arial" w:hAnsi="Arial" w:cs="Arial"/>
          <w:b/>
          <w:bCs/>
        </w:rPr>
        <w:t>druhých</w:t>
      </w:r>
      <w:r w:rsidRPr="009E62CA">
        <w:rPr>
          <w:rFonts w:ascii="Arial" w:hAnsi="Arial" w:cs="Arial"/>
          <w:b/>
          <w:bCs/>
        </w:rPr>
        <w:t xml:space="preserve"> nejen z důvodu věku</w:t>
      </w:r>
    </w:p>
    <w:p w14:paraId="343A83CB" w14:textId="77777777" w:rsidR="00BC3DF8" w:rsidRPr="009E62CA" w:rsidRDefault="00BC3DF8" w:rsidP="00BC3DF8">
      <w:pPr>
        <w:pStyle w:val="Odstavecseseznamem"/>
        <w:numPr>
          <w:ilvl w:val="2"/>
          <w:numId w:val="27"/>
        </w:numPr>
        <w:spacing w:before="240" w:after="120" w:line="276" w:lineRule="auto"/>
        <w:contextualSpacing/>
        <w:jc w:val="both"/>
        <w:rPr>
          <w:rFonts w:ascii="Arial" w:hAnsi="Arial" w:cs="Arial"/>
          <w:strike/>
          <w:sz w:val="22"/>
          <w:szCs w:val="22"/>
        </w:rPr>
      </w:pPr>
      <w:r w:rsidRPr="009E62CA">
        <w:rPr>
          <w:rFonts w:ascii="Arial" w:hAnsi="Arial" w:cs="Arial"/>
          <w:sz w:val="22"/>
          <w:szCs w:val="22"/>
        </w:rPr>
        <w:t>Nastavit podmínky pro zajištění dlouhodobé péče v</w:t>
      </w:r>
      <w:r>
        <w:rPr>
          <w:rFonts w:ascii="Arial" w:hAnsi="Arial" w:cs="Arial"/>
          <w:sz w:val="22"/>
          <w:szCs w:val="22"/>
        </w:rPr>
        <w:t> </w:t>
      </w:r>
      <w:r w:rsidRPr="009E62CA">
        <w:rPr>
          <w:rFonts w:ascii="Arial" w:hAnsi="Arial" w:cs="Arial"/>
          <w:sz w:val="22"/>
          <w:szCs w:val="22"/>
        </w:rPr>
        <w:t>ČR</w:t>
      </w:r>
      <w:r>
        <w:rPr>
          <w:rFonts w:ascii="Arial" w:hAnsi="Arial" w:cs="Arial"/>
          <w:sz w:val="22"/>
          <w:szCs w:val="22"/>
        </w:rPr>
        <w:t xml:space="preserve"> (Strategie dlouhodobé péče)</w:t>
      </w:r>
    </w:p>
    <w:p w14:paraId="43DEC309" w14:textId="77777777" w:rsidR="00BC3DF8" w:rsidRPr="00195460" w:rsidRDefault="00BC3DF8" w:rsidP="00BC3DF8">
      <w:pPr>
        <w:pStyle w:val="Odstavecseseznamem"/>
        <w:numPr>
          <w:ilvl w:val="2"/>
          <w:numId w:val="27"/>
        </w:numPr>
        <w:spacing w:before="240" w:after="120" w:line="276" w:lineRule="auto"/>
        <w:contextualSpacing/>
        <w:jc w:val="both"/>
        <w:rPr>
          <w:rFonts w:ascii="Arial" w:hAnsi="Arial" w:cs="Arial"/>
          <w:strike/>
          <w:sz w:val="22"/>
          <w:szCs w:val="22"/>
        </w:rPr>
      </w:pPr>
      <w:r w:rsidRPr="00195460">
        <w:rPr>
          <w:rFonts w:ascii="Arial" w:hAnsi="Arial" w:cs="Arial"/>
          <w:sz w:val="22"/>
          <w:szCs w:val="22"/>
        </w:rPr>
        <w:t>Vytvořit zákonný rámec pro udržitelný systém provázaných služeb péče (změnový zákon o dlouhodobé péči, novela zákona o sociálních službách, profesní zákon)</w:t>
      </w:r>
    </w:p>
    <w:p w14:paraId="53ED0443" w14:textId="77777777" w:rsidR="00BC3DF8" w:rsidRPr="00195460" w:rsidRDefault="00BC3DF8" w:rsidP="00BC3DF8">
      <w:pPr>
        <w:pStyle w:val="Odstavecseseznamem"/>
        <w:numPr>
          <w:ilvl w:val="2"/>
          <w:numId w:val="27"/>
        </w:numPr>
        <w:spacing w:before="240" w:after="120" w:line="276" w:lineRule="auto"/>
        <w:contextualSpacing/>
        <w:jc w:val="both"/>
        <w:rPr>
          <w:rFonts w:ascii="Arial" w:hAnsi="Arial" w:cs="Arial"/>
          <w:strike/>
          <w:sz w:val="22"/>
          <w:szCs w:val="22"/>
        </w:rPr>
      </w:pPr>
      <w:r w:rsidRPr="00195460">
        <w:rPr>
          <w:rFonts w:ascii="Arial" w:hAnsi="Arial" w:cs="Arial"/>
          <w:sz w:val="22"/>
          <w:szCs w:val="22"/>
        </w:rPr>
        <w:t xml:space="preserve">Posílit dostupnost sociálních a zdravotních služeb s důrazem na setrvání člověka ve vlastním prostředí a na </w:t>
      </w:r>
      <w:proofErr w:type="spellStart"/>
      <w:r w:rsidRPr="00195460">
        <w:rPr>
          <w:rFonts w:ascii="Arial" w:hAnsi="Arial" w:cs="Arial"/>
          <w:sz w:val="22"/>
          <w:szCs w:val="22"/>
        </w:rPr>
        <w:t>individualizovan</w:t>
      </w:r>
      <w:r>
        <w:rPr>
          <w:rFonts w:ascii="Arial" w:hAnsi="Arial" w:cs="Arial"/>
          <w:sz w:val="22"/>
          <w:szCs w:val="22"/>
        </w:rPr>
        <w:t>ě</w:t>
      </w:r>
      <w:proofErr w:type="spellEnd"/>
      <w:r w:rsidRPr="00195460">
        <w:rPr>
          <w:rFonts w:ascii="Arial" w:hAnsi="Arial" w:cs="Arial"/>
          <w:sz w:val="22"/>
          <w:szCs w:val="22"/>
        </w:rPr>
        <w:t xml:space="preserve"> poskytovanou péči (rozvoj nových kapacit, s větším důrazem na terénní a ambulantní)</w:t>
      </w:r>
    </w:p>
    <w:p w14:paraId="46C96FEE" w14:textId="77777777" w:rsidR="00BC3DF8" w:rsidRPr="00195460" w:rsidRDefault="00BC3DF8" w:rsidP="00BC3DF8">
      <w:pPr>
        <w:pStyle w:val="Odstavecseseznamem"/>
        <w:numPr>
          <w:ilvl w:val="2"/>
          <w:numId w:val="27"/>
        </w:numPr>
        <w:spacing w:before="240" w:after="120" w:line="276" w:lineRule="auto"/>
        <w:contextualSpacing/>
        <w:jc w:val="both"/>
        <w:rPr>
          <w:rFonts w:ascii="Arial" w:hAnsi="Arial" w:cs="Arial"/>
          <w:strike/>
          <w:sz w:val="22"/>
          <w:szCs w:val="22"/>
        </w:rPr>
      </w:pPr>
      <w:r w:rsidRPr="00195460">
        <w:rPr>
          <w:rFonts w:ascii="Arial" w:hAnsi="Arial" w:cs="Arial"/>
          <w:sz w:val="22"/>
          <w:szCs w:val="22"/>
        </w:rPr>
        <w:t>Podpořit vybudování moderních zázemí pro poskytování soc-zdrav služeb (NPO, definovaný materiálně technický standard v novele ZSSL</w:t>
      </w:r>
      <w:r w:rsidRPr="009E62CA">
        <w:rPr>
          <w:rFonts w:ascii="Arial" w:hAnsi="Arial" w:cs="Arial"/>
          <w:color w:val="000000" w:themeColor="text1"/>
          <w:sz w:val="22"/>
          <w:szCs w:val="22"/>
        </w:rPr>
        <w:t>)</w:t>
      </w:r>
    </w:p>
    <w:p w14:paraId="38D7E563" w14:textId="77777777" w:rsidR="00BC3DF8" w:rsidRPr="00195460" w:rsidRDefault="00BC3DF8" w:rsidP="00BC3DF8">
      <w:pPr>
        <w:pStyle w:val="Odstavecseseznamem"/>
        <w:numPr>
          <w:ilvl w:val="2"/>
          <w:numId w:val="27"/>
        </w:numPr>
        <w:spacing w:before="240" w:after="120" w:line="276" w:lineRule="auto"/>
        <w:contextualSpacing/>
        <w:jc w:val="both"/>
        <w:rPr>
          <w:rFonts w:ascii="Arial" w:hAnsi="Arial" w:cs="Arial"/>
          <w:strike/>
          <w:sz w:val="22"/>
          <w:szCs w:val="22"/>
        </w:rPr>
      </w:pPr>
      <w:r w:rsidRPr="00195460">
        <w:rPr>
          <w:rFonts w:ascii="Arial" w:hAnsi="Arial" w:cs="Arial"/>
          <w:sz w:val="22"/>
          <w:szCs w:val="22"/>
        </w:rPr>
        <w:t>Zajistit předvídatelné a stabilní financování sociálních služeb (</w:t>
      </w:r>
      <w:proofErr w:type="gramStart"/>
      <w:r w:rsidRPr="00195460">
        <w:rPr>
          <w:rFonts w:ascii="Arial" w:hAnsi="Arial" w:cs="Arial"/>
          <w:sz w:val="22"/>
          <w:szCs w:val="22"/>
        </w:rPr>
        <w:t>novela  zákona</w:t>
      </w:r>
      <w:proofErr w:type="gramEnd"/>
      <w:r w:rsidRPr="00195460">
        <w:rPr>
          <w:rFonts w:ascii="Arial" w:hAnsi="Arial" w:cs="Arial"/>
          <w:sz w:val="22"/>
          <w:szCs w:val="22"/>
        </w:rPr>
        <w:t xml:space="preserve"> o sociálních službách)</w:t>
      </w:r>
    </w:p>
    <w:p w14:paraId="4D87DE55" w14:textId="77777777" w:rsidR="00BC3DF8" w:rsidRPr="009E62CA" w:rsidRDefault="00BC3DF8" w:rsidP="00BC3DF8">
      <w:pPr>
        <w:spacing w:before="120" w:after="120"/>
        <w:contextualSpacing/>
        <w:jc w:val="both"/>
        <w:rPr>
          <w:rFonts w:ascii="Arial" w:hAnsi="Arial" w:cs="Arial"/>
          <w:b/>
          <w:bCs/>
        </w:rPr>
      </w:pPr>
      <w:r>
        <w:rPr>
          <w:rFonts w:ascii="Arial" w:hAnsi="Arial" w:cs="Arial"/>
        </w:rPr>
        <w:lastRenderedPageBreak/>
        <w:t xml:space="preserve">            </w:t>
      </w:r>
      <w:r w:rsidRPr="00195460">
        <w:rPr>
          <w:rFonts w:ascii="Arial" w:hAnsi="Arial" w:cs="Arial"/>
        </w:rPr>
        <w:t xml:space="preserve">5.3. </w:t>
      </w:r>
      <w:r w:rsidRPr="009E62CA">
        <w:rPr>
          <w:rFonts w:ascii="Arial" w:hAnsi="Arial" w:cs="Arial"/>
          <w:b/>
          <w:bCs/>
        </w:rPr>
        <w:t>Cíleně podporovat neformální pečující</w:t>
      </w:r>
    </w:p>
    <w:p w14:paraId="706934C6" w14:textId="77777777" w:rsidR="00BC3DF8" w:rsidRDefault="00BC3DF8" w:rsidP="00BC3DF8">
      <w:pPr>
        <w:spacing w:before="120" w:after="120"/>
        <w:contextualSpacing/>
        <w:jc w:val="both"/>
        <w:rPr>
          <w:rFonts w:ascii="Arial" w:hAnsi="Arial" w:cs="Arial"/>
        </w:rPr>
      </w:pPr>
      <w:r>
        <w:rPr>
          <w:rFonts w:ascii="Arial" w:hAnsi="Arial" w:cs="Arial"/>
        </w:rPr>
        <w:t xml:space="preserve">                      5.3.1.</w:t>
      </w:r>
      <w:r w:rsidRPr="00195460">
        <w:rPr>
          <w:rFonts w:ascii="Arial" w:hAnsi="Arial" w:cs="Arial"/>
        </w:rPr>
        <w:t xml:space="preserve"> Definovat</w:t>
      </w:r>
      <w:r w:rsidRPr="00195460">
        <w:rPr>
          <w:rFonts w:ascii="Arial" w:hAnsi="Arial" w:cs="Arial"/>
          <w:color w:val="FF0000"/>
        </w:rPr>
        <w:t xml:space="preserve"> </w:t>
      </w:r>
      <w:r w:rsidRPr="00195460">
        <w:rPr>
          <w:rFonts w:ascii="Arial" w:hAnsi="Arial" w:cs="Arial"/>
        </w:rPr>
        <w:t xml:space="preserve">neformálně pečující jako cílovou skupinu sociálních služeb </w:t>
      </w:r>
      <w:r>
        <w:rPr>
          <w:rFonts w:ascii="Arial" w:hAnsi="Arial" w:cs="Arial"/>
        </w:rPr>
        <w:t xml:space="preserve">          </w:t>
      </w:r>
    </w:p>
    <w:p w14:paraId="0F1A7E3A" w14:textId="77777777" w:rsidR="00BC3DF8" w:rsidRPr="004928E1" w:rsidRDefault="00BC3DF8" w:rsidP="00BC3DF8">
      <w:pPr>
        <w:spacing w:before="120" w:after="120"/>
        <w:contextualSpacing/>
        <w:jc w:val="both"/>
        <w:rPr>
          <w:rFonts w:ascii="Arial" w:hAnsi="Arial" w:cs="Arial"/>
          <w:strike/>
        </w:rPr>
      </w:pPr>
      <w:r w:rsidRPr="004928E1">
        <w:rPr>
          <w:rFonts w:ascii="Arial" w:hAnsi="Arial" w:cs="Arial"/>
        </w:rPr>
        <w:t xml:space="preserve">                                       (novela zákona o sociálních službách</w:t>
      </w:r>
    </w:p>
    <w:p w14:paraId="066938F0" w14:textId="77777777" w:rsidR="00BC3DF8" w:rsidRPr="00F74523" w:rsidRDefault="00BC3DF8" w:rsidP="00BC3DF8">
      <w:pPr>
        <w:pStyle w:val="Odstavecseseznamem"/>
        <w:spacing w:before="120" w:after="120" w:line="276" w:lineRule="auto"/>
        <w:ind w:left="1418"/>
        <w:contextualSpacing/>
        <w:jc w:val="both"/>
        <w:rPr>
          <w:rFonts w:ascii="Arial" w:hAnsi="Arial" w:cs="Arial"/>
        </w:rPr>
      </w:pPr>
      <w:r>
        <w:rPr>
          <w:rFonts w:ascii="Arial" w:hAnsi="Arial" w:cs="Arial"/>
        </w:rPr>
        <w:t xml:space="preserve">5.3.2.     </w:t>
      </w:r>
      <w:r w:rsidRPr="00F74523">
        <w:rPr>
          <w:rFonts w:ascii="Arial" w:hAnsi="Arial" w:cs="Arial"/>
        </w:rPr>
        <w:t>Realizovat analýzy: situace neformálních pečujících v souvislosti s trhem práce, jejich zdravím a mobilitou (3 analýzy)</w:t>
      </w:r>
    </w:p>
    <w:p w14:paraId="0DB9F5B4" w14:textId="77777777" w:rsidR="00BC3DF8" w:rsidRPr="004928E1" w:rsidRDefault="00BC3DF8" w:rsidP="00BC3DF8">
      <w:pPr>
        <w:pStyle w:val="Odstavecseseznamem"/>
        <w:numPr>
          <w:ilvl w:val="2"/>
          <w:numId w:val="28"/>
        </w:numPr>
        <w:spacing w:before="120" w:after="120" w:line="276" w:lineRule="auto"/>
        <w:ind w:left="1418" w:firstLine="142"/>
        <w:contextualSpacing/>
        <w:jc w:val="both"/>
        <w:rPr>
          <w:rFonts w:ascii="Arial" w:hAnsi="Arial" w:cs="Arial"/>
          <w:sz w:val="22"/>
          <w:szCs w:val="22"/>
        </w:rPr>
      </w:pPr>
      <w:r w:rsidRPr="004928E1">
        <w:rPr>
          <w:rFonts w:ascii="Arial" w:hAnsi="Arial" w:cs="Arial"/>
          <w:sz w:val="22"/>
          <w:szCs w:val="22"/>
        </w:rPr>
        <w:t xml:space="preserve">Podporovat slaďování osobního a pracovního života s povinností pečujícího   v rámci rodinné, seniorské politiky a stárnutí populace </w:t>
      </w:r>
    </w:p>
    <w:p w14:paraId="3213BBCE" w14:textId="77777777" w:rsidR="00BC3DF8" w:rsidRPr="004928E1" w:rsidRDefault="00BC3DF8" w:rsidP="00BC3DF8">
      <w:pPr>
        <w:pStyle w:val="Odstavecseseznamem"/>
        <w:numPr>
          <w:ilvl w:val="3"/>
          <w:numId w:val="28"/>
        </w:numPr>
        <w:spacing w:before="120" w:after="120" w:line="276" w:lineRule="auto"/>
        <w:ind w:left="1418" w:firstLine="142"/>
        <w:contextualSpacing/>
        <w:jc w:val="both"/>
        <w:rPr>
          <w:rFonts w:ascii="Arial" w:hAnsi="Arial" w:cs="Arial"/>
          <w:sz w:val="22"/>
          <w:szCs w:val="22"/>
        </w:rPr>
      </w:pPr>
      <w:r w:rsidRPr="004928E1">
        <w:rPr>
          <w:rFonts w:ascii="Arial" w:hAnsi="Arial" w:cs="Arial"/>
          <w:sz w:val="22"/>
          <w:szCs w:val="22"/>
        </w:rPr>
        <w:t xml:space="preserve">Podpořit neformálně pečující prostřednictvím pracovně-právní legislativy (novela zákoníku práce) </w:t>
      </w:r>
    </w:p>
    <w:p w14:paraId="3A189744" w14:textId="77777777" w:rsidR="00BC3DF8" w:rsidRPr="004928E1" w:rsidRDefault="00BC3DF8" w:rsidP="00BC3DF8">
      <w:pPr>
        <w:pStyle w:val="Odstavecseseznamem"/>
        <w:numPr>
          <w:ilvl w:val="3"/>
          <w:numId w:val="28"/>
        </w:numPr>
        <w:spacing w:before="120" w:after="120" w:line="276" w:lineRule="auto"/>
        <w:ind w:left="1418" w:firstLine="142"/>
        <w:contextualSpacing/>
        <w:jc w:val="both"/>
        <w:rPr>
          <w:rFonts w:ascii="Arial" w:hAnsi="Arial" w:cs="Arial"/>
          <w:sz w:val="22"/>
          <w:szCs w:val="22"/>
        </w:rPr>
      </w:pPr>
      <w:r w:rsidRPr="004928E1">
        <w:rPr>
          <w:rFonts w:ascii="Arial" w:hAnsi="Arial" w:cs="Arial"/>
          <w:sz w:val="22"/>
          <w:szCs w:val="22"/>
        </w:rPr>
        <w:t>Podporovat informovanost mezi zaměstnanci i zaměstnavateli ohledně nástrojů slaďování (osvětové soutěže)</w:t>
      </w:r>
    </w:p>
    <w:p w14:paraId="5C6FE5D7" w14:textId="77777777" w:rsidR="00BC3DF8" w:rsidRPr="004928E1" w:rsidRDefault="00BC3DF8" w:rsidP="00BC3DF8">
      <w:pPr>
        <w:pStyle w:val="Odstavecseseznamem"/>
        <w:numPr>
          <w:ilvl w:val="3"/>
          <w:numId w:val="28"/>
        </w:numPr>
        <w:spacing w:before="120" w:after="120" w:line="276" w:lineRule="auto"/>
        <w:ind w:left="1418" w:firstLine="142"/>
        <w:contextualSpacing/>
        <w:jc w:val="both"/>
        <w:rPr>
          <w:rFonts w:ascii="Arial" w:hAnsi="Arial" w:cs="Arial"/>
          <w:sz w:val="22"/>
          <w:szCs w:val="22"/>
        </w:rPr>
      </w:pPr>
      <w:r w:rsidRPr="004928E1">
        <w:rPr>
          <w:rFonts w:ascii="Arial" w:hAnsi="Arial" w:cs="Arial"/>
          <w:sz w:val="22"/>
          <w:szCs w:val="22"/>
        </w:rPr>
        <w:t>Vyhledávat inovace a přenos dobré praxe za účelem možnosti zavedení dalších nástrojů k podpoře pečujících osob (průzkum zájmu nezaměstnaných)</w:t>
      </w:r>
    </w:p>
    <w:p w14:paraId="4BD156A6" w14:textId="77777777" w:rsidR="00BC3DF8" w:rsidRPr="004928E1" w:rsidRDefault="00BC3DF8" w:rsidP="00BC3DF8">
      <w:pPr>
        <w:pStyle w:val="Odstavecseseznamem"/>
        <w:numPr>
          <w:ilvl w:val="2"/>
          <w:numId w:val="28"/>
        </w:numPr>
        <w:spacing w:before="120" w:after="120" w:line="276" w:lineRule="auto"/>
        <w:ind w:left="1418" w:firstLine="0"/>
        <w:contextualSpacing/>
        <w:jc w:val="both"/>
        <w:rPr>
          <w:rFonts w:ascii="Arial" w:hAnsi="Arial" w:cs="Arial"/>
          <w:sz w:val="22"/>
          <w:szCs w:val="22"/>
        </w:rPr>
      </w:pPr>
      <w:r w:rsidRPr="004928E1">
        <w:rPr>
          <w:rFonts w:ascii="Arial" w:hAnsi="Arial" w:cs="Arial"/>
          <w:sz w:val="22"/>
          <w:szCs w:val="22"/>
        </w:rPr>
        <w:t xml:space="preserve">Podporovat zapojení mužů do péče      </w:t>
      </w:r>
    </w:p>
    <w:p w14:paraId="38F60D93" w14:textId="77777777" w:rsidR="00BC3DF8" w:rsidRPr="007161F0" w:rsidRDefault="00BC3DF8" w:rsidP="00BC3DF8">
      <w:pPr>
        <w:pStyle w:val="Odstavecseseznamem"/>
        <w:spacing w:before="120" w:after="120" w:line="276" w:lineRule="auto"/>
        <w:ind w:left="2098"/>
        <w:contextualSpacing/>
        <w:jc w:val="both"/>
        <w:rPr>
          <w:rFonts w:ascii="Arial" w:hAnsi="Arial" w:cs="Arial"/>
          <w:sz w:val="22"/>
          <w:szCs w:val="22"/>
        </w:rPr>
      </w:pPr>
      <w:r w:rsidRPr="004928E1">
        <w:rPr>
          <w:rFonts w:ascii="Arial" w:hAnsi="Arial" w:cs="Arial"/>
          <w:sz w:val="22"/>
          <w:szCs w:val="22"/>
        </w:rPr>
        <w:t>Analyzovat možnosti podpory vyššího zapojení mužů do péče (analýza</w:t>
      </w:r>
      <w:r w:rsidRPr="007161F0">
        <w:rPr>
          <w:rFonts w:ascii="Arial" w:hAnsi="Arial" w:cs="Arial"/>
          <w:sz w:val="22"/>
          <w:szCs w:val="22"/>
        </w:rPr>
        <w:t>, vyhodnocení dotazníkového šetření)</w:t>
      </w:r>
    </w:p>
    <w:p w14:paraId="52739020" w14:textId="77777777" w:rsidR="00BC3DF8" w:rsidRPr="007161F0" w:rsidRDefault="00BC3DF8" w:rsidP="00BC3DF8">
      <w:pPr>
        <w:pStyle w:val="Odstavecseseznamem"/>
        <w:spacing w:before="120" w:after="120" w:line="276" w:lineRule="auto"/>
        <w:ind w:left="2098"/>
        <w:contextualSpacing/>
        <w:jc w:val="both"/>
        <w:rPr>
          <w:rFonts w:ascii="Arial" w:hAnsi="Arial" w:cs="Arial"/>
          <w:sz w:val="22"/>
          <w:szCs w:val="22"/>
        </w:rPr>
      </w:pPr>
    </w:p>
    <w:p w14:paraId="366CFFA8" w14:textId="77777777" w:rsidR="00BC3DF8" w:rsidRPr="009E62CA" w:rsidRDefault="00BC3DF8" w:rsidP="00BC3DF8">
      <w:pPr>
        <w:pStyle w:val="Odstavecseseznamem"/>
        <w:numPr>
          <w:ilvl w:val="1"/>
          <w:numId w:val="28"/>
        </w:numPr>
        <w:spacing w:before="120" w:after="120" w:line="276" w:lineRule="auto"/>
        <w:contextualSpacing/>
        <w:jc w:val="both"/>
        <w:rPr>
          <w:rFonts w:ascii="Arial" w:hAnsi="Arial" w:cs="Arial"/>
          <w:b/>
          <w:bCs/>
          <w:sz w:val="22"/>
          <w:szCs w:val="22"/>
        </w:rPr>
      </w:pPr>
      <w:r w:rsidRPr="009E62CA">
        <w:rPr>
          <w:rFonts w:ascii="Arial" w:hAnsi="Arial" w:cs="Arial"/>
          <w:b/>
          <w:bCs/>
          <w:sz w:val="22"/>
          <w:szCs w:val="22"/>
        </w:rPr>
        <w:t>Zajistit dostupné bydlení pro starší lidi</w:t>
      </w:r>
    </w:p>
    <w:p w14:paraId="0E989651"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5.4.1. Vytvořit systém mapování a pravidelného vyhodnocování</w:t>
      </w:r>
    </w:p>
    <w:p w14:paraId="0ECB6371"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bezbariérovosti domácnosti/bytů v jednotlivých regionech (systém  </w:t>
      </w:r>
    </w:p>
    <w:p w14:paraId="2BB29A81"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mapování a vyhodnocování, analýza)</w:t>
      </w:r>
    </w:p>
    <w:p w14:paraId="7DDE0008"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5.4.2. </w:t>
      </w:r>
      <w:r>
        <w:rPr>
          <w:rFonts w:ascii="Arial" w:hAnsi="Arial" w:cs="Arial"/>
        </w:rPr>
        <w:t>Zajistit</w:t>
      </w:r>
      <w:r w:rsidRPr="007161F0">
        <w:rPr>
          <w:rFonts w:ascii="Arial" w:hAnsi="Arial" w:cs="Arial"/>
        </w:rPr>
        <w:t xml:space="preserve"> financování pro </w:t>
      </w:r>
      <w:r>
        <w:rPr>
          <w:rFonts w:ascii="Arial" w:hAnsi="Arial" w:cs="Arial"/>
        </w:rPr>
        <w:t>optimalizaci</w:t>
      </w:r>
      <w:r w:rsidRPr="007161F0">
        <w:rPr>
          <w:rFonts w:ascii="Arial" w:hAnsi="Arial" w:cs="Arial"/>
        </w:rPr>
        <w:t xml:space="preserve"> počtu bytů  </w:t>
      </w:r>
    </w:p>
    <w:p w14:paraId="48B42373" w14:textId="77777777" w:rsidR="00BC3DF8" w:rsidRPr="007161F0" w:rsidRDefault="00BC3DF8" w:rsidP="00BC3DF8">
      <w:pPr>
        <w:spacing w:before="120" w:after="120"/>
        <w:ind w:left="1418"/>
        <w:contextualSpacing/>
        <w:jc w:val="both"/>
        <w:rPr>
          <w:rFonts w:ascii="Arial" w:hAnsi="Arial" w:cs="Arial"/>
        </w:rPr>
      </w:pPr>
      <w:r w:rsidRPr="007161F0">
        <w:rPr>
          <w:rFonts w:ascii="Arial" w:hAnsi="Arial" w:cs="Arial"/>
        </w:rPr>
        <w:t xml:space="preserve">          s dokončenými bezbariérovými úpravami a energeticko-účinného    </w:t>
      </w:r>
    </w:p>
    <w:p w14:paraId="41C0C606" w14:textId="77777777" w:rsidR="00BC3DF8" w:rsidRDefault="00BC3DF8" w:rsidP="00BC3DF8">
      <w:pPr>
        <w:spacing w:before="120" w:after="120"/>
        <w:ind w:left="1418"/>
        <w:contextualSpacing/>
        <w:jc w:val="both"/>
        <w:rPr>
          <w:rFonts w:ascii="Arial" w:hAnsi="Arial" w:cs="Arial"/>
        </w:rPr>
      </w:pPr>
      <w:r w:rsidRPr="007161F0">
        <w:rPr>
          <w:rFonts w:ascii="Arial" w:hAnsi="Arial" w:cs="Arial"/>
        </w:rPr>
        <w:t xml:space="preserve">          bydlení </w:t>
      </w:r>
    </w:p>
    <w:p w14:paraId="1B79A674" w14:textId="77777777" w:rsidR="00BC3DF8" w:rsidRDefault="00BC3DF8" w:rsidP="00BC3DF8">
      <w:pPr>
        <w:spacing w:before="120" w:after="120"/>
        <w:contextualSpacing/>
        <w:jc w:val="both"/>
        <w:rPr>
          <w:rFonts w:ascii="Arial" w:hAnsi="Arial" w:cs="Arial"/>
        </w:rPr>
      </w:pPr>
      <w:r>
        <w:rPr>
          <w:rFonts w:ascii="Arial" w:hAnsi="Arial" w:cs="Arial"/>
        </w:rPr>
        <w:t xml:space="preserve">                      </w:t>
      </w:r>
      <w:r w:rsidRPr="00725552">
        <w:rPr>
          <w:rFonts w:ascii="Arial" w:hAnsi="Arial" w:cs="Arial"/>
        </w:rPr>
        <w:t xml:space="preserve">5.4.3.Podporovat vznik víceúčelových a mezigeneračních </w:t>
      </w:r>
      <w:r>
        <w:rPr>
          <w:rFonts w:ascii="Arial" w:hAnsi="Arial" w:cs="Arial"/>
        </w:rPr>
        <w:t xml:space="preserve">obytných          </w:t>
      </w:r>
    </w:p>
    <w:p w14:paraId="24F3748D" w14:textId="77777777" w:rsidR="00BC3DF8" w:rsidRDefault="00BC3DF8" w:rsidP="00BC3DF8">
      <w:pPr>
        <w:spacing w:before="120" w:after="120"/>
        <w:contextualSpacing/>
        <w:jc w:val="both"/>
        <w:rPr>
          <w:rFonts w:ascii="Arial" w:hAnsi="Arial" w:cs="Arial"/>
        </w:rPr>
      </w:pPr>
      <w:r>
        <w:rPr>
          <w:rFonts w:ascii="Arial" w:hAnsi="Arial" w:cs="Arial"/>
        </w:rPr>
        <w:t xml:space="preserve">                                  zón</w:t>
      </w:r>
      <w:r w:rsidRPr="00725552">
        <w:rPr>
          <w:rFonts w:ascii="Arial" w:hAnsi="Arial" w:cs="Arial"/>
        </w:rPr>
        <w:t xml:space="preserve"> </w:t>
      </w:r>
      <w:r w:rsidRPr="007161F0">
        <w:rPr>
          <w:rFonts w:ascii="Arial" w:hAnsi="Arial" w:cs="Arial"/>
        </w:rPr>
        <w:t>nejen na venkově</w:t>
      </w:r>
    </w:p>
    <w:p w14:paraId="2ACB18D8" w14:textId="77777777" w:rsidR="00BC3DF8" w:rsidRPr="007161F0" w:rsidRDefault="00BC3DF8" w:rsidP="00BC3DF8">
      <w:pPr>
        <w:spacing w:after="120"/>
        <w:ind w:left="1418"/>
        <w:contextualSpacing/>
        <w:jc w:val="both"/>
        <w:rPr>
          <w:rFonts w:ascii="Arial" w:hAnsi="Arial" w:cs="Arial"/>
        </w:rPr>
      </w:pPr>
      <w:r>
        <w:rPr>
          <w:rFonts w:ascii="Arial" w:hAnsi="Arial" w:cs="Arial"/>
        </w:rPr>
        <w:t xml:space="preserve">5.4.4. </w:t>
      </w:r>
      <w:r w:rsidRPr="007161F0">
        <w:rPr>
          <w:rFonts w:ascii="Arial" w:hAnsi="Arial" w:cs="Arial"/>
        </w:rPr>
        <w:t>Zajistit podporu seniorů v</w:t>
      </w:r>
      <w:r>
        <w:rPr>
          <w:rFonts w:ascii="Arial" w:hAnsi="Arial" w:cs="Arial"/>
        </w:rPr>
        <w:t xml:space="preserve"> legislativních i nelegislativních úpravách vztahujících se k bydlení </w:t>
      </w:r>
      <w:r w:rsidRPr="007161F0">
        <w:rPr>
          <w:rFonts w:ascii="Arial" w:hAnsi="Arial" w:cs="Arial"/>
        </w:rPr>
        <w:t xml:space="preserve">(zákon o podpoře v bydlení, starší lidé   </w:t>
      </w:r>
    </w:p>
    <w:p w14:paraId="4C84E538" w14:textId="77777777" w:rsidR="00BC3DF8" w:rsidRDefault="00BC3DF8" w:rsidP="00BC3DF8">
      <w:pPr>
        <w:spacing w:before="120" w:after="120"/>
        <w:ind w:left="1418"/>
        <w:contextualSpacing/>
        <w:jc w:val="both"/>
        <w:rPr>
          <w:rFonts w:ascii="Arial" w:hAnsi="Arial" w:cs="Arial"/>
        </w:rPr>
      </w:pPr>
      <w:r w:rsidRPr="007161F0">
        <w:rPr>
          <w:rFonts w:ascii="Arial" w:hAnsi="Arial" w:cs="Arial"/>
        </w:rPr>
        <w:t xml:space="preserve">           cílovou skupinou</w:t>
      </w:r>
    </w:p>
    <w:p w14:paraId="215A6B83" w14:textId="77777777" w:rsidR="00BC3DF8" w:rsidRDefault="00BC3DF8" w:rsidP="00BC3DF8">
      <w:pPr>
        <w:spacing w:before="120" w:after="120"/>
        <w:ind w:left="708" w:firstLine="708"/>
        <w:contextualSpacing/>
        <w:jc w:val="both"/>
        <w:rPr>
          <w:rFonts w:ascii="Arial" w:hAnsi="Arial" w:cs="Arial"/>
        </w:rPr>
      </w:pPr>
      <w:r>
        <w:rPr>
          <w:rFonts w:ascii="Arial" w:hAnsi="Arial" w:cs="Arial"/>
        </w:rPr>
        <w:t xml:space="preserve">5.4.5. Ve </w:t>
      </w:r>
      <w:r w:rsidRPr="007161F0">
        <w:rPr>
          <w:rFonts w:ascii="Arial" w:hAnsi="Arial" w:cs="Arial"/>
        </w:rPr>
        <w:t>spoluprác</w:t>
      </w:r>
      <w:r>
        <w:rPr>
          <w:rFonts w:ascii="Arial" w:hAnsi="Arial" w:cs="Arial"/>
        </w:rPr>
        <w:t>i</w:t>
      </w:r>
      <w:r w:rsidRPr="007161F0">
        <w:rPr>
          <w:rFonts w:ascii="Arial" w:hAnsi="Arial" w:cs="Arial"/>
        </w:rPr>
        <w:t xml:space="preserve"> s</w:t>
      </w:r>
      <w:r>
        <w:rPr>
          <w:rFonts w:ascii="Arial" w:hAnsi="Arial" w:cs="Arial"/>
        </w:rPr>
        <w:t> </w:t>
      </w:r>
      <w:r w:rsidRPr="007161F0">
        <w:rPr>
          <w:rFonts w:ascii="Arial" w:hAnsi="Arial" w:cs="Arial"/>
        </w:rPr>
        <w:t>katedrou</w:t>
      </w:r>
      <w:r>
        <w:rPr>
          <w:rFonts w:ascii="Arial" w:hAnsi="Arial" w:cs="Arial"/>
        </w:rPr>
        <w:t xml:space="preserve"> </w:t>
      </w:r>
      <w:r w:rsidRPr="007161F0">
        <w:rPr>
          <w:rFonts w:ascii="Arial" w:hAnsi="Arial" w:cs="Arial"/>
        </w:rPr>
        <w:t>architektury</w:t>
      </w:r>
      <w:r>
        <w:rPr>
          <w:rFonts w:ascii="Arial" w:hAnsi="Arial" w:cs="Arial"/>
        </w:rPr>
        <w:t xml:space="preserve"> spolupracovat na </w:t>
      </w:r>
      <w:r w:rsidRPr="007161F0">
        <w:rPr>
          <w:rFonts w:ascii="Arial" w:hAnsi="Arial" w:cs="Arial"/>
        </w:rPr>
        <w:t xml:space="preserve">doporučení </w:t>
      </w:r>
      <w:r>
        <w:rPr>
          <w:rFonts w:ascii="Arial" w:hAnsi="Arial" w:cs="Arial"/>
        </w:rPr>
        <w:t xml:space="preserve">směrem k </w:t>
      </w:r>
      <w:r w:rsidRPr="007161F0">
        <w:rPr>
          <w:rFonts w:ascii="Arial" w:hAnsi="Arial" w:cs="Arial"/>
        </w:rPr>
        <w:t>mezigenerační</w:t>
      </w:r>
      <w:r>
        <w:rPr>
          <w:rFonts w:ascii="Arial" w:hAnsi="Arial" w:cs="Arial"/>
        </w:rPr>
        <w:t xml:space="preserve">mu </w:t>
      </w:r>
      <w:r w:rsidRPr="007161F0">
        <w:rPr>
          <w:rFonts w:ascii="Arial" w:hAnsi="Arial" w:cs="Arial"/>
        </w:rPr>
        <w:t>soužití</w:t>
      </w:r>
      <w:r>
        <w:rPr>
          <w:rFonts w:ascii="Arial" w:hAnsi="Arial" w:cs="Arial"/>
        </w:rPr>
        <w:t xml:space="preserve">, inovačním prvkům pro další uplatnění v systému </w:t>
      </w:r>
    </w:p>
    <w:p w14:paraId="24DB5616" w14:textId="77777777" w:rsidR="00BC3DF8" w:rsidRPr="002F0FAC" w:rsidRDefault="00BC3DF8" w:rsidP="00BC3DF8">
      <w:pPr>
        <w:spacing w:before="120" w:after="120"/>
        <w:ind w:left="1418"/>
        <w:contextualSpacing/>
        <w:jc w:val="both"/>
        <w:rPr>
          <w:rFonts w:ascii="Arial" w:hAnsi="Arial" w:cs="Arial"/>
        </w:rPr>
      </w:pPr>
    </w:p>
    <w:p w14:paraId="2168D0A2" w14:textId="6C72698F" w:rsidR="00F62778" w:rsidRPr="002F0FAC" w:rsidRDefault="00F62778" w:rsidP="00F62778">
      <w:pPr>
        <w:spacing w:before="120" w:after="120"/>
        <w:ind w:left="1418"/>
        <w:contextualSpacing/>
        <w:jc w:val="both"/>
        <w:rPr>
          <w:rFonts w:ascii="Arial" w:hAnsi="Arial" w:cs="Arial"/>
        </w:rPr>
      </w:pPr>
    </w:p>
    <w:p w14:paraId="2614744D" w14:textId="6D46368F" w:rsidR="00D07C72" w:rsidRPr="00F002C1" w:rsidRDefault="00D07C72" w:rsidP="006E4016">
      <w:pPr>
        <w:pStyle w:val="Podnadpis"/>
        <w:spacing w:before="120" w:after="120" w:line="276" w:lineRule="auto"/>
        <w:rPr>
          <w:rFonts w:ascii="Arial" w:hAnsi="Arial" w:cs="Arial"/>
          <w:b w:val="0"/>
          <w:bCs w:val="0"/>
          <w:color w:val="2E74B5" w:themeColor="accent1" w:themeShade="BF"/>
        </w:rPr>
      </w:pPr>
      <w:r w:rsidRPr="00F002C1">
        <w:rPr>
          <w:rFonts w:ascii="Arial" w:hAnsi="Arial" w:cs="Arial"/>
          <w:b w:val="0"/>
          <w:bCs w:val="0"/>
          <w:color w:val="2E74B5" w:themeColor="accent1" w:themeShade="BF"/>
        </w:rPr>
        <w:t xml:space="preserve">   </w:t>
      </w:r>
    </w:p>
    <w:p w14:paraId="4E653EF9" w14:textId="7AA96922" w:rsidR="00F002C1" w:rsidRPr="00DF16D7" w:rsidRDefault="00E24026" w:rsidP="00DF16D7">
      <w:pPr>
        <w:spacing w:line="360" w:lineRule="auto"/>
        <w:jc w:val="both"/>
        <w:rPr>
          <w:rFonts w:ascii="Arial" w:hAnsi="Arial" w:cs="Arial"/>
          <w:bCs/>
          <w:sz w:val="24"/>
        </w:rPr>
      </w:pPr>
      <w:r w:rsidRPr="00DF16D7">
        <w:rPr>
          <w:rFonts w:ascii="Arial" w:hAnsi="Arial" w:cs="Arial"/>
          <w:bCs/>
          <w:sz w:val="24"/>
        </w:rPr>
        <w:t xml:space="preserve">Akční plán naplňuje Strategický rámec prostřednictvím opatření na roky </w:t>
      </w:r>
      <w:proofErr w:type="gramStart"/>
      <w:r w:rsidRPr="00DF16D7">
        <w:rPr>
          <w:rFonts w:ascii="Arial" w:hAnsi="Arial" w:cs="Arial"/>
          <w:bCs/>
          <w:sz w:val="24"/>
        </w:rPr>
        <w:t>2023 – 2025</w:t>
      </w:r>
      <w:proofErr w:type="gramEnd"/>
      <w:r w:rsidRPr="00DF16D7">
        <w:rPr>
          <w:rFonts w:ascii="Arial" w:hAnsi="Arial" w:cs="Arial"/>
          <w:bCs/>
          <w:sz w:val="24"/>
        </w:rPr>
        <w:t>. Daná opatření budou vyhodnoc</w:t>
      </w:r>
      <w:r w:rsidR="000E018E" w:rsidRPr="00DF16D7">
        <w:rPr>
          <w:rFonts w:ascii="Arial" w:hAnsi="Arial" w:cs="Arial"/>
          <w:bCs/>
          <w:sz w:val="24"/>
        </w:rPr>
        <w:t>ována</w:t>
      </w:r>
      <w:r w:rsidRPr="00DF16D7">
        <w:rPr>
          <w:rFonts w:ascii="Arial" w:hAnsi="Arial" w:cs="Arial"/>
          <w:bCs/>
          <w:sz w:val="24"/>
        </w:rPr>
        <w:t xml:space="preserve"> prostřednictvím Zpráv o plnění.</w:t>
      </w:r>
    </w:p>
    <w:p w14:paraId="24AE8584" w14:textId="606FBE62" w:rsidR="00AA006D" w:rsidRPr="005D204F" w:rsidRDefault="00F002C1" w:rsidP="00DF16D7">
      <w:pPr>
        <w:pStyle w:val="Nadpis1"/>
        <w:pBdr>
          <w:bottom w:val="single" w:sz="4" w:space="1" w:color="auto"/>
        </w:pBdr>
        <w:spacing w:after="200"/>
      </w:pPr>
      <w:r>
        <w:rPr>
          <w:rFonts w:ascii="Arial" w:hAnsi="Arial" w:cs="Arial"/>
          <w:sz w:val="24"/>
          <w:szCs w:val="24"/>
        </w:rPr>
        <w:br w:type="page"/>
      </w:r>
      <w:bookmarkStart w:id="2" w:name="_Toc137819476"/>
      <w:r w:rsidR="00426A7F">
        <w:lastRenderedPageBreak/>
        <w:t>2</w:t>
      </w:r>
      <w:r w:rsidR="003C0D6A" w:rsidRPr="002901FE">
        <w:t>. Úvod</w:t>
      </w:r>
      <w:bookmarkEnd w:id="2"/>
      <w:r w:rsidR="003C0D6A" w:rsidRPr="002901FE">
        <w:t xml:space="preserve">  </w:t>
      </w:r>
      <w:bookmarkStart w:id="3" w:name="_Hlk114391397"/>
    </w:p>
    <w:p w14:paraId="0D56E7FC" w14:textId="3D302E79" w:rsidR="00691223" w:rsidRDefault="00691223" w:rsidP="003C0D6A">
      <w:pPr>
        <w:spacing w:line="360" w:lineRule="auto"/>
        <w:jc w:val="both"/>
        <w:rPr>
          <w:rFonts w:ascii="Arial" w:hAnsi="Arial" w:cs="Arial"/>
          <w:bCs/>
          <w:sz w:val="24"/>
        </w:rPr>
      </w:pPr>
      <w:r w:rsidRPr="00691223">
        <w:rPr>
          <w:rFonts w:ascii="Arial" w:hAnsi="Arial" w:cs="Arial"/>
          <w:bCs/>
          <w:sz w:val="24"/>
        </w:rPr>
        <w:t xml:space="preserve">Česká společnost se </w:t>
      </w:r>
      <w:r>
        <w:rPr>
          <w:rFonts w:ascii="Arial" w:hAnsi="Arial" w:cs="Arial"/>
          <w:bCs/>
          <w:sz w:val="24"/>
        </w:rPr>
        <w:t xml:space="preserve">postupně proměňuje </w:t>
      </w:r>
      <w:r w:rsidRPr="00691223">
        <w:rPr>
          <w:rFonts w:ascii="Arial" w:hAnsi="Arial" w:cs="Arial"/>
          <w:bCs/>
          <w:sz w:val="24"/>
        </w:rPr>
        <w:t xml:space="preserve">– rodí se méně dětí a stále se prodlužuje délka dožití. Zvyšuje se tak podíl starších lidí v populaci a společnost stárne, stejně jako ve většině zemí vyspělého světa. V současné době jsou v ČR 2, 132 miliony seniorů nad 65 let věku (tedy přibližně pětina), z toho 898 tisíc mužů a 1,234 milionu žen. </w:t>
      </w:r>
      <w:r w:rsidRPr="009A5D87">
        <w:rPr>
          <w:rFonts w:ascii="Arial" w:hAnsi="Arial" w:cs="Arial"/>
          <w:b/>
          <w:sz w:val="24"/>
        </w:rPr>
        <w:t>V roce 20</w:t>
      </w:r>
      <w:r>
        <w:rPr>
          <w:rFonts w:ascii="Arial" w:hAnsi="Arial" w:cs="Arial"/>
          <w:b/>
          <w:sz w:val="24"/>
        </w:rPr>
        <w:t>22</w:t>
      </w:r>
      <w:r w:rsidRPr="009A5D87">
        <w:rPr>
          <w:rFonts w:ascii="Arial" w:hAnsi="Arial" w:cs="Arial"/>
          <w:b/>
          <w:sz w:val="24"/>
        </w:rPr>
        <w:t xml:space="preserve"> </w:t>
      </w:r>
      <w:r w:rsidRPr="009A5D87">
        <w:rPr>
          <w:rFonts w:ascii="Arial" w:hAnsi="Arial" w:cs="Arial"/>
          <w:bCs/>
          <w:sz w:val="24"/>
        </w:rPr>
        <w:t xml:space="preserve">bylo </w:t>
      </w:r>
      <w:r w:rsidRPr="009A5D87">
        <w:rPr>
          <w:rFonts w:ascii="Arial" w:hAnsi="Arial" w:cs="Arial"/>
          <w:b/>
          <w:sz w:val="24"/>
        </w:rPr>
        <w:t xml:space="preserve">ve věkové kategorii 65+ </w:t>
      </w:r>
      <w:r>
        <w:rPr>
          <w:rFonts w:ascii="Arial" w:hAnsi="Arial" w:cs="Arial"/>
          <w:bCs/>
          <w:sz w:val="24"/>
        </w:rPr>
        <w:t xml:space="preserve">více než </w:t>
      </w:r>
      <w:r w:rsidRPr="008779FC">
        <w:rPr>
          <w:rFonts w:ascii="Arial" w:hAnsi="Arial" w:cs="Arial"/>
          <w:b/>
          <w:sz w:val="24"/>
        </w:rPr>
        <w:t>20 % obyvatel,</w:t>
      </w:r>
      <w:r>
        <w:rPr>
          <w:rFonts w:ascii="Arial" w:hAnsi="Arial" w:cs="Arial"/>
          <w:b/>
          <w:sz w:val="24"/>
        </w:rPr>
        <w:t xml:space="preserve"> </w:t>
      </w:r>
      <w:r w:rsidRPr="009A5D87">
        <w:rPr>
          <w:rFonts w:ascii="Arial" w:hAnsi="Arial" w:cs="Arial"/>
          <w:b/>
          <w:sz w:val="24"/>
        </w:rPr>
        <w:t>v roce 2025 to bude 22,3 % a v roce 2050 již 29 % (téměř každý třetí).</w:t>
      </w:r>
      <w:r>
        <w:rPr>
          <w:rFonts w:ascii="Arial" w:hAnsi="Arial" w:cs="Arial"/>
          <w:b/>
          <w:sz w:val="24"/>
        </w:rPr>
        <w:t xml:space="preserve"> </w:t>
      </w:r>
      <w:r w:rsidRPr="00691223">
        <w:rPr>
          <w:rFonts w:ascii="Arial" w:hAnsi="Arial" w:cs="Arial"/>
          <w:bCs/>
          <w:sz w:val="24"/>
        </w:rPr>
        <w:t xml:space="preserve">V roce 2030 se již bude jednat o 2,4 milionu obyvatel, blížící se ke čtvrtině, a v roce 2050 dokonce o 3 miliony, což bude téměř 30 % ze všech osob žijících v ČR (střední varianta demografické prognózy ČSÚ z roku 2018). Současně se do roku 2050 ztrojnásobí počet osob 85letých a starších na téměř 0,5 milionu, tedy na téměř </w:t>
      </w:r>
      <w:proofErr w:type="gramStart"/>
      <w:r w:rsidRPr="00691223">
        <w:rPr>
          <w:rFonts w:ascii="Arial" w:hAnsi="Arial" w:cs="Arial"/>
          <w:bCs/>
          <w:sz w:val="24"/>
        </w:rPr>
        <w:t>2,5 násobek</w:t>
      </w:r>
      <w:proofErr w:type="gramEnd"/>
      <w:r w:rsidRPr="00691223">
        <w:rPr>
          <w:rFonts w:ascii="Arial" w:hAnsi="Arial" w:cs="Arial"/>
          <w:bCs/>
          <w:sz w:val="24"/>
        </w:rPr>
        <w:t xml:space="preserve"> aktuálního stavu, což bude představovat přibližně 5 % populace.</w:t>
      </w:r>
    </w:p>
    <w:p w14:paraId="7C73AF2C" w14:textId="04A8F68D" w:rsidR="00F002C1" w:rsidRDefault="00F002C1" w:rsidP="00F002C1">
      <w:pPr>
        <w:pStyle w:val="Citt"/>
        <w:pBdr>
          <w:top w:val="single" w:sz="18" w:space="9" w:color="44546A" w:themeColor="text2"/>
          <w:bottom w:val="single" w:sz="18" w:space="6" w:color="44546A" w:themeColor="text2"/>
        </w:pBdr>
        <w:spacing w:before="0" w:after="0"/>
        <w:rPr>
          <w:rFonts w:ascii="Arial" w:hAnsi="Arial" w:cs="Arial"/>
          <w:bCs/>
          <w:color w:val="2E74B5" w:themeColor="accent1" w:themeShade="BF"/>
        </w:rPr>
      </w:pPr>
      <w:r w:rsidRPr="00F002C1">
        <w:rPr>
          <w:rFonts w:ascii="Arial" w:hAnsi="Arial" w:cs="Arial"/>
          <w:bCs/>
          <w:color w:val="2E74B5" w:themeColor="accent1" w:themeShade="BF"/>
        </w:rPr>
        <w:t xml:space="preserve">Vzhledem k prognózám je nutné, aby se na stárnutí připravila nejen společnost ve svých politikách, ale také každý jednotlivec. Každý z nás může aktivně přispívat a participovat na rozvoji politiky stárnutí s jasným odkazem pro budoucí generace.  </w:t>
      </w:r>
    </w:p>
    <w:p w14:paraId="610737CB" w14:textId="77777777" w:rsidR="00F002C1" w:rsidRPr="00F002C1" w:rsidRDefault="00F002C1" w:rsidP="00F002C1">
      <w:pPr>
        <w:rPr>
          <w:lang w:eastAsia="cs-CZ"/>
        </w:rPr>
      </w:pPr>
    </w:p>
    <w:p w14:paraId="782564D8" w14:textId="7EBD1577" w:rsidR="0065198C" w:rsidRDefault="0065198C" w:rsidP="0065198C">
      <w:pPr>
        <w:pStyle w:val="MarginNote"/>
        <w:framePr w:wrap="around" w:y="1"/>
      </w:pPr>
      <w:r>
        <w:t>Průřezový charakter politiky stárnutí</w:t>
      </w:r>
    </w:p>
    <w:p w14:paraId="502491D8" w14:textId="1A6B3495" w:rsidR="00691223" w:rsidRPr="00AC4227" w:rsidRDefault="002473D1" w:rsidP="00D8159E">
      <w:pPr>
        <w:pStyle w:val="xmsonormal"/>
        <w:spacing w:after="200" w:line="360" w:lineRule="auto"/>
        <w:jc w:val="both"/>
        <w:rPr>
          <w:rFonts w:ascii="Arial" w:hAnsi="Arial" w:cs="Arial"/>
          <w:sz w:val="24"/>
          <w:szCs w:val="24"/>
        </w:rPr>
      </w:pPr>
      <w:r w:rsidRPr="002473D1">
        <w:rPr>
          <w:rFonts w:ascii="Arial" w:hAnsi="Arial" w:cs="Arial"/>
          <w:b/>
          <w:bCs/>
          <w:sz w:val="24"/>
          <w:szCs w:val="24"/>
        </w:rPr>
        <w:t>Politik</w:t>
      </w:r>
      <w:r w:rsidR="00691223">
        <w:rPr>
          <w:rFonts w:ascii="Arial" w:hAnsi="Arial" w:cs="Arial"/>
          <w:b/>
          <w:bCs/>
          <w:sz w:val="24"/>
          <w:szCs w:val="24"/>
        </w:rPr>
        <w:t>u</w:t>
      </w:r>
      <w:r w:rsidRPr="002473D1">
        <w:rPr>
          <w:rFonts w:ascii="Arial" w:hAnsi="Arial" w:cs="Arial"/>
          <w:b/>
          <w:bCs/>
          <w:sz w:val="24"/>
          <w:szCs w:val="24"/>
        </w:rPr>
        <w:t xml:space="preserve"> stárnutí</w:t>
      </w:r>
      <w:r w:rsidRPr="002473D1">
        <w:rPr>
          <w:rFonts w:ascii="Arial" w:hAnsi="Arial" w:cs="Arial"/>
          <w:sz w:val="24"/>
          <w:szCs w:val="24"/>
        </w:rPr>
        <w:t xml:space="preserve"> </w:t>
      </w:r>
      <w:r w:rsidR="00691223">
        <w:rPr>
          <w:rFonts w:ascii="Arial" w:hAnsi="Arial" w:cs="Arial"/>
          <w:sz w:val="24"/>
          <w:szCs w:val="24"/>
        </w:rPr>
        <w:t>můžeme chápat jako politiku</w:t>
      </w:r>
      <w:r w:rsidRPr="002473D1">
        <w:rPr>
          <w:rFonts w:ascii="Arial" w:hAnsi="Arial" w:cs="Arial"/>
          <w:sz w:val="24"/>
          <w:szCs w:val="24"/>
        </w:rPr>
        <w:t xml:space="preserve"> </w:t>
      </w:r>
      <w:r w:rsidRPr="002473D1">
        <w:rPr>
          <w:rFonts w:ascii="Arial" w:hAnsi="Arial" w:cs="Arial"/>
          <w:b/>
          <w:bCs/>
          <w:sz w:val="24"/>
          <w:szCs w:val="24"/>
        </w:rPr>
        <w:t>průřezov</w:t>
      </w:r>
      <w:r w:rsidR="00691223">
        <w:rPr>
          <w:rFonts w:ascii="Arial" w:hAnsi="Arial" w:cs="Arial"/>
          <w:b/>
          <w:bCs/>
          <w:sz w:val="24"/>
          <w:szCs w:val="24"/>
        </w:rPr>
        <w:t>ou</w:t>
      </w:r>
      <w:r w:rsidRPr="002473D1">
        <w:rPr>
          <w:rFonts w:ascii="Arial" w:hAnsi="Arial" w:cs="Arial"/>
          <w:sz w:val="24"/>
          <w:szCs w:val="24"/>
        </w:rPr>
        <w:t xml:space="preserve">, s výraznou potřebou interdisciplinarity, mezioborové a mezirezortní spolupráce. </w:t>
      </w:r>
      <w:r w:rsidRPr="002473D1">
        <w:rPr>
          <w:rFonts w:ascii="Arial" w:hAnsi="Arial" w:cs="Arial"/>
          <w:b/>
          <w:bCs/>
          <w:sz w:val="24"/>
          <w:szCs w:val="24"/>
        </w:rPr>
        <w:t xml:space="preserve">Úzce se prolíná </w:t>
      </w:r>
      <w:r w:rsidR="00D8159E">
        <w:rPr>
          <w:rFonts w:ascii="Arial" w:hAnsi="Arial" w:cs="Arial"/>
          <w:b/>
          <w:bCs/>
          <w:sz w:val="24"/>
          <w:szCs w:val="24"/>
        </w:rPr>
        <w:t xml:space="preserve">s politikou trhu práce, veřejného zdraví, dále </w:t>
      </w:r>
      <w:r w:rsidRPr="002473D1">
        <w:rPr>
          <w:rFonts w:ascii="Arial" w:hAnsi="Arial" w:cs="Arial"/>
          <w:b/>
          <w:bCs/>
          <w:sz w:val="24"/>
          <w:szCs w:val="24"/>
        </w:rPr>
        <w:t>s</w:t>
      </w:r>
      <w:r w:rsidR="00691223">
        <w:rPr>
          <w:rFonts w:ascii="Arial" w:hAnsi="Arial" w:cs="Arial"/>
          <w:b/>
          <w:bCs/>
          <w:sz w:val="24"/>
          <w:szCs w:val="24"/>
        </w:rPr>
        <w:t> politikou sociální</w:t>
      </w:r>
      <w:r w:rsidR="00D8159E">
        <w:rPr>
          <w:rFonts w:ascii="Arial" w:hAnsi="Arial" w:cs="Arial"/>
          <w:b/>
          <w:bCs/>
          <w:sz w:val="24"/>
          <w:szCs w:val="24"/>
        </w:rPr>
        <w:t xml:space="preserve">, </w:t>
      </w:r>
      <w:r w:rsidR="00691223">
        <w:rPr>
          <w:rFonts w:ascii="Arial" w:hAnsi="Arial" w:cs="Arial"/>
          <w:b/>
          <w:bCs/>
          <w:sz w:val="24"/>
          <w:szCs w:val="24"/>
        </w:rPr>
        <w:t xml:space="preserve">a specificky pak s </w:t>
      </w:r>
      <w:r w:rsidRPr="002473D1">
        <w:rPr>
          <w:rFonts w:ascii="Arial" w:hAnsi="Arial" w:cs="Arial"/>
          <w:b/>
          <w:bCs/>
          <w:sz w:val="24"/>
          <w:szCs w:val="24"/>
        </w:rPr>
        <w:t>rodinnou politikou</w:t>
      </w:r>
      <w:r w:rsidRPr="002473D1">
        <w:rPr>
          <w:rFonts w:ascii="Arial" w:hAnsi="Arial" w:cs="Arial"/>
          <w:sz w:val="24"/>
          <w:szCs w:val="24"/>
        </w:rPr>
        <w:t>.</w:t>
      </w:r>
      <w:r w:rsidR="00AC4227">
        <w:rPr>
          <w:rFonts w:ascii="Arial" w:hAnsi="Arial" w:cs="Arial"/>
          <w:sz w:val="24"/>
          <w:szCs w:val="24"/>
        </w:rPr>
        <w:t xml:space="preserve"> </w:t>
      </w:r>
      <w:r w:rsidR="00DB0C93" w:rsidRPr="002417EC">
        <w:rPr>
          <w:rFonts w:ascii="Arial" w:hAnsi="Arial" w:cs="Arial"/>
          <w:sz w:val="24"/>
        </w:rPr>
        <w:t xml:space="preserve">Politika stárnutí a příprava na demografické změny ve společnosti se týká různých aktérů. </w:t>
      </w:r>
      <w:r w:rsidR="00DB0C93" w:rsidRPr="002417EC">
        <w:rPr>
          <w:rFonts w:ascii="Arial" w:hAnsi="Arial" w:cs="Arial"/>
          <w:b/>
          <w:sz w:val="24"/>
        </w:rPr>
        <w:t xml:space="preserve">Celkový rámec a podmínky pro přípravu na stárnutí zaštiťuje </w:t>
      </w:r>
      <w:r w:rsidR="00DB0C93" w:rsidRPr="00691223">
        <w:rPr>
          <w:rFonts w:ascii="Arial" w:hAnsi="Arial" w:cs="Arial"/>
          <w:b/>
          <w:sz w:val="24"/>
        </w:rPr>
        <w:t>stát, přičemž v naplňování tohoto rámce je naprosto klíčová role dalších aktérů, zejména pak krajů a obcí, ale také zaměstnavatelů, neziskového sektoru, akademické sféry či médií.</w:t>
      </w:r>
      <w:r w:rsidR="00DB0C93" w:rsidRPr="002417EC">
        <w:rPr>
          <w:rFonts w:ascii="Arial" w:hAnsi="Arial" w:cs="Arial"/>
          <w:sz w:val="24"/>
        </w:rPr>
        <w:t xml:space="preserve"> Příprava na stárnutí ale není jen záležitost společenských institucí, ale </w:t>
      </w:r>
      <w:r w:rsidR="00DB0C93" w:rsidRPr="002417EC">
        <w:rPr>
          <w:rFonts w:ascii="Arial" w:hAnsi="Arial" w:cs="Arial"/>
          <w:b/>
          <w:bCs/>
          <w:sz w:val="24"/>
        </w:rPr>
        <w:t>i jednotlivců-seniorů jako takových</w:t>
      </w:r>
      <w:r w:rsidR="00DB0C93" w:rsidRPr="002417EC">
        <w:rPr>
          <w:rFonts w:ascii="Arial" w:hAnsi="Arial" w:cs="Arial"/>
          <w:sz w:val="24"/>
        </w:rPr>
        <w:t xml:space="preserve">. Každý z nás by měl vyrůstat, dospívat a žít s vědomím, že bude stárnout v dlouhověké společnosti, a </w:t>
      </w:r>
      <w:r w:rsidR="00D8159E">
        <w:rPr>
          <w:rFonts w:ascii="Arial" w:hAnsi="Arial" w:cs="Arial"/>
          <w:sz w:val="24"/>
        </w:rPr>
        <w:t>dané uplatnit ve svých životních strategií</w:t>
      </w:r>
      <w:r w:rsidR="00DB0C93" w:rsidRPr="002417EC">
        <w:rPr>
          <w:rFonts w:ascii="Arial" w:hAnsi="Arial" w:cs="Arial"/>
          <w:sz w:val="24"/>
        </w:rPr>
        <w:t xml:space="preserve">. Role státu a samosprávy by pak měla spočívat v zajištění takového prostředí, které </w:t>
      </w:r>
      <w:r w:rsidR="00D8159E">
        <w:rPr>
          <w:rFonts w:ascii="Arial" w:hAnsi="Arial" w:cs="Arial"/>
          <w:sz w:val="24"/>
        </w:rPr>
        <w:t xml:space="preserve">ocení aktivní a zodpovědný přístup jednotlivce a zároveň zajistí každému důstojné podmínky života </w:t>
      </w:r>
      <w:r w:rsidR="00DB0C93" w:rsidRPr="002417EC">
        <w:rPr>
          <w:rFonts w:ascii="Arial" w:hAnsi="Arial" w:cs="Arial"/>
          <w:sz w:val="24"/>
        </w:rPr>
        <w:t>bez ohledu na věk či zdravotní stav.</w:t>
      </w:r>
      <w:r w:rsidR="00D8159E" w:rsidRPr="00D8159E">
        <w:rPr>
          <w:rFonts w:ascii="Arial" w:hAnsi="Arial" w:cs="Arial"/>
          <w:sz w:val="24"/>
          <w:szCs w:val="24"/>
        </w:rPr>
        <w:t xml:space="preserve"> </w:t>
      </w:r>
      <w:r w:rsidR="00D8159E" w:rsidRPr="002473D1">
        <w:rPr>
          <w:rFonts w:ascii="Arial" w:hAnsi="Arial" w:cs="Arial"/>
          <w:sz w:val="24"/>
          <w:szCs w:val="24"/>
        </w:rPr>
        <w:t>Nediskriminace je cestou ke společnosti přívětivé pro všechny věkové kategorie</w:t>
      </w:r>
      <w:r w:rsidR="00D8159E">
        <w:rPr>
          <w:rFonts w:ascii="Arial" w:hAnsi="Arial" w:cs="Arial"/>
          <w:sz w:val="24"/>
          <w:szCs w:val="24"/>
        </w:rPr>
        <w:t>.</w:t>
      </w:r>
    </w:p>
    <w:p w14:paraId="403A3154" w14:textId="77777777" w:rsidR="008D6DD3" w:rsidRDefault="008D6DD3" w:rsidP="008D6DD3">
      <w:pPr>
        <w:spacing w:after="120" w:line="360" w:lineRule="auto"/>
        <w:jc w:val="both"/>
        <w:rPr>
          <w:rFonts w:ascii="Arial" w:hAnsi="Arial" w:cs="Arial"/>
          <w:sz w:val="24"/>
        </w:rPr>
      </w:pPr>
    </w:p>
    <w:p w14:paraId="13833C02" w14:textId="77777777" w:rsidR="008D6DD3" w:rsidRDefault="008D6DD3" w:rsidP="008D6DD3">
      <w:pPr>
        <w:pStyle w:val="MarginNote"/>
        <w:framePr w:wrap="around" w:y="1"/>
      </w:pPr>
      <w:r>
        <w:t>Dopady do všech politik i veřejného života</w:t>
      </w:r>
    </w:p>
    <w:p w14:paraId="2CA1E00F" w14:textId="77777777" w:rsidR="008D6DD3" w:rsidRDefault="008D6DD3" w:rsidP="008D6DD3">
      <w:pPr>
        <w:spacing w:after="120" w:line="360" w:lineRule="auto"/>
        <w:jc w:val="both"/>
        <w:rPr>
          <w:rFonts w:ascii="Arial" w:hAnsi="Arial" w:cs="Arial"/>
          <w:b/>
          <w:sz w:val="24"/>
        </w:rPr>
      </w:pPr>
      <w:r w:rsidRPr="006951A4">
        <w:rPr>
          <w:rFonts w:ascii="Arial" w:hAnsi="Arial" w:cs="Arial"/>
          <w:b/>
          <w:sz w:val="24"/>
        </w:rPr>
        <w:t xml:space="preserve">Demografický vývoj vyžaduje daleko širší změny v oblasti </w:t>
      </w:r>
      <w:r>
        <w:rPr>
          <w:rFonts w:ascii="Arial" w:hAnsi="Arial" w:cs="Arial"/>
          <w:b/>
          <w:sz w:val="24"/>
        </w:rPr>
        <w:t xml:space="preserve">příjmů státního rozpočtu, </w:t>
      </w:r>
      <w:r w:rsidRPr="006951A4">
        <w:rPr>
          <w:rFonts w:ascii="Arial" w:hAnsi="Arial" w:cs="Arial"/>
          <w:b/>
          <w:sz w:val="24"/>
        </w:rPr>
        <w:t xml:space="preserve">státní správy, </w:t>
      </w:r>
      <w:r>
        <w:rPr>
          <w:rFonts w:ascii="Arial" w:hAnsi="Arial" w:cs="Arial"/>
          <w:b/>
          <w:sz w:val="24"/>
        </w:rPr>
        <w:t xml:space="preserve">stabilně </w:t>
      </w:r>
      <w:r w:rsidRPr="006951A4">
        <w:rPr>
          <w:rFonts w:ascii="Arial" w:hAnsi="Arial" w:cs="Arial"/>
          <w:b/>
          <w:sz w:val="24"/>
        </w:rPr>
        <w:t>dostupného bydlení, financování a kvality</w:t>
      </w:r>
      <w:r>
        <w:rPr>
          <w:rFonts w:ascii="Arial" w:hAnsi="Arial" w:cs="Arial"/>
          <w:b/>
          <w:sz w:val="24"/>
        </w:rPr>
        <w:t xml:space="preserve"> a místní a časové dostupnosti</w:t>
      </w:r>
      <w:r w:rsidRPr="006951A4">
        <w:rPr>
          <w:rFonts w:ascii="Arial" w:hAnsi="Arial" w:cs="Arial"/>
          <w:b/>
          <w:sz w:val="24"/>
        </w:rPr>
        <w:t xml:space="preserve"> sociální a</w:t>
      </w:r>
      <w:r>
        <w:rPr>
          <w:rFonts w:ascii="Arial" w:hAnsi="Arial" w:cs="Arial"/>
          <w:b/>
          <w:sz w:val="24"/>
        </w:rPr>
        <w:t> </w:t>
      </w:r>
      <w:r w:rsidRPr="006951A4">
        <w:rPr>
          <w:rFonts w:ascii="Arial" w:hAnsi="Arial" w:cs="Arial"/>
          <w:b/>
          <w:sz w:val="24"/>
        </w:rPr>
        <w:t>zdravotní péče</w:t>
      </w:r>
      <w:r>
        <w:rPr>
          <w:rFonts w:ascii="Arial" w:hAnsi="Arial" w:cs="Arial"/>
          <w:b/>
          <w:sz w:val="24"/>
        </w:rPr>
        <w:t xml:space="preserve">, </w:t>
      </w:r>
      <w:r w:rsidRPr="006951A4">
        <w:rPr>
          <w:rFonts w:ascii="Arial" w:hAnsi="Arial" w:cs="Arial"/>
          <w:b/>
          <w:sz w:val="24"/>
        </w:rPr>
        <w:t>celoživotního vzdělávání, zaměstnanosti, ocenění a odměňování práce v sociálních službách, ochrany práv seniorů či fungování veřejného prostoru</w:t>
      </w:r>
      <w:r w:rsidRPr="006951A4">
        <w:rPr>
          <w:rFonts w:ascii="Arial" w:hAnsi="Arial" w:cs="Arial"/>
          <w:sz w:val="24"/>
        </w:rPr>
        <w:t xml:space="preserve"> (zejména v kontextu jeho </w:t>
      </w:r>
      <w:r w:rsidRPr="00EF6C20">
        <w:rPr>
          <w:rFonts w:ascii="Arial" w:hAnsi="Arial" w:cs="Arial"/>
          <w:b/>
          <w:bCs/>
          <w:sz w:val="24"/>
        </w:rPr>
        <w:t>bezbariérovosti</w:t>
      </w:r>
      <w:r w:rsidRPr="006951A4">
        <w:rPr>
          <w:rFonts w:ascii="Arial" w:hAnsi="Arial" w:cs="Arial"/>
          <w:sz w:val="24"/>
        </w:rPr>
        <w:t xml:space="preserve">). V neposlední řadě musí </w:t>
      </w:r>
      <w:r>
        <w:rPr>
          <w:rFonts w:ascii="Arial" w:hAnsi="Arial" w:cs="Arial"/>
          <w:sz w:val="24"/>
        </w:rPr>
        <w:t xml:space="preserve">být zřejmá nutnost včasné </w:t>
      </w:r>
      <w:r w:rsidRPr="006951A4">
        <w:rPr>
          <w:rFonts w:ascii="Arial" w:hAnsi="Arial" w:cs="Arial"/>
          <w:sz w:val="24"/>
        </w:rPr>
        <w:t>příprav</w:t>
      </w:r>
      <w:r>
        <w:rPr>
          <w:rFonts w:ascii="Arial" w:hAnsi="Arial" w:cs="Arial"/>
          <w:sz w:val="24"/>
        </w:rPr>
        <w:t>y</w:t>
      </w:r>
      <w:r w:rsidRPr="006951A4">
        <w:rPr>
          <w:rFonts w:ascii="Arial" w:hAnsi="Arial" w:cs="Arial"/>
          <w:sz w:val="24"/>
        </w:rPr>
        <w:t xml:space="preserve"> na stárnutí</w:t>
      </w:r>
      <w:r>
        <w:rPr>
          <w:rFonts w:ascii="Arial" w:hAnsi="Arial" w:cs="Arial"/>
          <w:sz w:val="24"/>
        </w:rPr>
        <w:t xml:space="preserve">, která by měla </w:t>
      </w:r>
      <w:r w:rsidRPr="006951A4">
        <w:rPr>
          <w:rFonts w:ascii="Arial" w:hAnsi="Arial" w:cs="Arial"/>
          <w:sz w:val="24"/>
        </w:rPr>
        <w:t xml:space="preserve">rovněž zahrnovat </w:t>
      </w:r>
      <w:r w:rsidRPr="00F12DAD">
        <w:rPr>
          <w:rFonts w:ascii="Arial" w:hAnsi="Arial" w:cs="Arial"/>
          <w:b/>
          <w:bCs/>
          <w:sz w:val="24"/>
        </w:rPr>
        <w:t>vytváření podmínek pro osobní aktivitu ve stáří</w:t>
      </w:r>
      <w:r w:rsidRPr="006951A4">
        <w:rPr>
          <w:rFonts w:ascii="Arial" w:hAnsi="Arial" w:cs="Arial"/>
          <w:sz w:val="24"/>
        </w:rPr>
        <w:t xml:space="preserve">, </w:t>
      </w:r>
      <w:r w:rsidRPr="00F12DAD">
        <w:rPr>
          <w:rFonts w:ascii="Arial" w:hAnsi="Arial" w:cs="Arial"/>
          <w:b/>
          <w:bCs/>
          <w:sz w:val="24"/>
        </w:rPr>
        <w:t xml:space="preserve">občanskou angažovanost </w:t>
      </w:r>
      <w:r w:rsidRPr="006951A4">
        <w:rPr>
          <w:rFonts w:ascii="Arial" w:hAnsi="Arial" w:cs="Arial"/>
          <w:sz w:val="24"/>
        </w:rPr>
        <w:t>a </w:t>
      </w:r>
      <w:r w:rsidRPr="00F12DAD">
        <w:rPr>
          <w:rFonts w:ascii="Arial" w:hAnsi="Arial" w:cs="Arial"/>
          <w:b/>
          <w:bCs/>
          <w:sz w:val="24"/>
        </w:rPr>
        <w:t>dobrovolnictví</w:t>
      </w:r>
      <w:r w:rsidRPr="006951A4">
        <w:rPr>
          <w:rFonts w:ascii="Arial" w:hAnsi="Arial" w:cs="Arial"/>
          <w:sz w:val="24"/>
        </w:rPr>
        <w:t xml:space="preserve"> </w:t>
      </w:r>
      <w:r>
        <w:rPr>
          <w:rFonts w:ascii="Arial" w:hAnsi="Arial" w:cs="Arial"/>
          <w:sz w:val="24"/>
        </w:rPr>
        <w:t xml:space="preserve">směrem k seniorům, ale také seniorů samotných </w:t>
      </w:r>
      <w:r w:rsidRPr="006951A4">
        <w:rPr>
          <w:rFonts w:ascii="Arial" w:hAnsi="Arial" w:cs="Arial"/>
          <w:sz w:val="24"/>
        </w:rPr>
        <w:t>či rozvoj kvalitních mezilidských a rodinných vztahů obecně.</w:t>
      </w:r>
      <w:r w:rsidRPr="006951A4">
        <w:rPr>
          <w:rFonts w:ascii="Arial" w:hAnsi="Arial" w:cs="Arial"/>
          <w:b/>
          <w:sz w:val="24"/>
        </w:rPr>
        <w:t xml:space="preserve"> </w:t>
      </w:r>
    </w:p>
    <w:p w14:paraId="591D764A" w14:textId="77777777" w:rsidR="008D6DD3" w:rsidRDefault="008D6DD3" w:rsidP="008D6DD3">
      <w:pPr>
        <w:autoSpaceDE w:val="0"/>
        <w:autoSpaceDN w:val="0"/>
        <w:adjustRightInd w:val="0"/>
        <w:spacing w:after="0" w:line="360" w:lineRule="auto"/>
        <w:jc w:val="both"/>
        <w:rPr>
          <w:rFonts w:ascii="Arial" w:hAnsi="Arial" w:cs="Arial"/>
          <w:sz w:val="24"/>
          <w:szCs w:val="24"/>
        </w:rPr>
      </w:pPr>
      <w:r>
        <w:rPr>
          <w:rFonts w:ascii="Arial" w:hAnsi="Arial" w:cs="Arial"/>
          <w:bCs/>
          <w:sz w:val="24"/>
          <w:szCs w:val="24"/>
        </w:rPr>
        <w:t>Jak bylo uvedeno výše p</w:t>
      </w:r>
      <w:r w:rsidRPr="00E9368A">
        <w:rPr>
          <w:rFonts w:ascii="Arial" w:hAnsi="Arial" w:cs="Arial"/>
          <w:bCs/>
          <w:sz w:val="24"/>
          <w:szCs w:val="24"/>
        </w:rPr>
        <w:t>olitika stárnutí populace</w:t>
      </w:r>
      <w:r>
        <w:rPr>
          <w:rFonts w:ascii="Arial" w:hAnsi="Arial" w:cs="Arial"/>
          <w:sz w:val="24"/>
          <w:szCs w:val="24"/>
        </w:rPr>
        <w:t xml:space="preserve"> vyžaduje interdisciplinární, mezioborovou a mezirezortní diskusi vedoucí k nalezení nejlepšího řešení, dotýká se tak řady aktérů.     </w:t>
      </w:r>
      <w:r w:rsidRPr="00E9368A">
        <w:rPr>
          <w:rFonts w:ascii="Arial" w:hAnsi="Arial" w:cs="Arial"/>
          <w:sz w:val="24"/>
          <w:szCs w:val="24"/>
        </w:rPr>
        <w:t xml:space="preserve"> </w:t>
      </w:r>
    </w:p>
    <w:p w14:paraId="5A4FE2BA" w14:textId="77777777" w:rsidR="008D6DD3" w:rsidRPr="00E9368A" w:rsidRDefault="008D6DD3" w:rsidP="008D6DD3">
      <w:pPr>
        <w:autoSpaceDE w:val="0"/>
        <w:autoSpaceDN w:val="0"/>
        <w:adjustRightInd w:val="0"/>
        <w:spacing w:after="0" w:line="360" w:lineRule="auto"/>
        <w:jc w:val="both"/>
        <w:rPr>
          <w:rFonts w:ascii="Arial" w:hAnsi="Arial" w:cs="Arial"/>
          <w:sz w:val="24"/>
          <w:szCs w:val="24"/>
        </w:rPr>
      </w:pPr>
    </w:p>
    <w:p w14:paraId="45B9DE59" w14:textId="77777777" w:rsidR="008D6DD3" w:rsidRPr="006C7248" w:rsidRDefault="008D6DD3" w:rsidP="008D6DD3">
      <w:pPr>
        <w:autoSpaceDE w:val="0"/>
        <w:autoSpaceDN w:val="0"/>
        <w:adjustRightInd w:val="0"/>
        <w:spacing w:after="0" w:line="360" w:lineRule="auto"/>
        <w:jc w:val="both"/>
        <w:rPr>
          <w:rFonts w:ascii="Arial" w:hAnsi="Arial" w:cs="Arial"/>
          <w:sz w:val="24"/>
          <w:szCs w:val="24"/>
        </w:rPr>
      </w:pPr>
      <w:r w:rsidRPr="006C7248">
        <w:rPr>
          <w:rFonts w:ascii="Arial" w:hAnsi="Arial" w:cs="Arial"/>
          <w:sz w:val="24"/>
          <w:szCs w:val="24"/>
        </w:rPr>
        <w:t xml:space="preserve">Tabulka č. </w:t>
      </w:r>
      <w:r>
        <w:rPr>
          <w:rFonts w:ascii="Arial" w:hAnsi="Arial" w:cs="Arial"/>
          <w:sz w:val="24"/>
          <w:szCs w:val="24"/>
        </w:rPr>
        <w:t>4</w:t>
      </w:r>
      <w:r w:rsidRPr="006C7248">
        <w:rPr>
          <w:rFonts w:ascii="Arial" w:hAnsi="Arial" w:cs="Arial"/>
          <w:sz w:val="24"/>
          <w:szCs w:val="24"/>
        </w:rPr>
        <w:t xml:space="preserve">: Přehled </w:t>
      </w:r>
      <w:r>
        <w:rPr>
          <w:rFonts w:ascii="Arial" w:hAnsi="Arial" w:cs="Arial"/>
          <w:sz w:val="24"/>
          <w:szCs w:val="24"/>
        </w:rPr>
        <w:t>aktérů a popisu jejich rolí</w:t>
      </w:r>
    </w:p>
    <w:tbl>
      <w:tblPr>
        <w:tblStyle w:val="Mkatabulky"/>
        <w:tblW w:w="9632" w:type="dxa"/>
        <w:tblInd w:w="-572" w:type="dxa"/>
        <w:tblLook w:val="04A0" w:firstRow="1" w:lastRow="0" w:firstColumn="1" w:lastColumn="0" w:noHBand="0" w:noVBand="1"/>
      </w:tblPr>
      <w:tblGrid>
        <w:gridCol w:w="4796"/>
        <w:gridCol w:w="4836"/>
      </w:tblGrid>
      <w:tr w:rsidR="008D6DD3" w14:paraId="6D092241" w14:textId="77777777" w:rsidTr="00FE1D5F">
        <w:tc>
          <w:tcPr>
            <w:tcW w:w="4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93E1F0" w14:textId="77777777" w:rsidR="008D6DD3" w:rsidRDefault="008D6DD3" w:rsidP="00FE1D5F">
            <w:pPr>
              <w:jc w:val="center"/>
              <w:rPr>
                <w:b/>
                <w:bCs/>
              </w:rPr>
            </w:pPr>
            <w:r>
              <w:rPr>
                <w:b/>
                <w:bCs/>
              </w:rPr>
              <w:t>Aktéři</w:t>
            </w:r>
          </w:p>
        </w:tc>
        <w:tc>
          <w:tcPr>
            <w:tcW w:w="483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24F7359" w14:textId="77777777" w:rsidR="008D6DD3" w:rsidRDefault="008D6DD3" w:rsidP="00FE1D5F">
            <w:pPr>
              <w:jc w:val="center"/>
              <w:rPr>
                <w:b/>
                <w:bCs/>
              </w:rPr>
            </w:pPr>
            <w:r>
              <w:rPr>
                <w:b/>
                <w:bCs/>
              </w:rPr>
              <w:t xml:space="preserve">Popis rolí </w:t>
            </w:r>
          </w:p>
        </w:tc>
      </w:tr>
      <w:tr w:rsidR="008D6DD3" w14:paraId="759F0675" w14:textId="77777777" w:rsidTr="00FE1D5F">
        <w:trPr>
          <w:trHeight w:val="1221"/>
        </w:trPr>
        <w:tc>
          <w:tcPr>
            <w:tcW w:w="4796" w:type="dxa"/>
            <w:tcBorders>
              <w:top w:val="single" w:sz="4" w:space="0" w:color="auto"/>
              <w:left w:val="single" w:sz="4" w:space="0" w:color="auto"/>
              <w:bottom w:val="nil"/>
              <w:right w:val="single" w:sz="4" w:space="0" w:color="auto"/>
            </w:tcBorders>
          </w:tcPr>
          <w:p w14:paraId="1273FA72" w14:textId="77777777" w:rsidR="008D6DD3" w:rsidRDefault="008D6DD3" w:rsidP="00FE1D5F">
            <w:pPr>
              <w:pStyle w:val="Odstavecseseznamem"/>
              <w:numPr>
                <w:ilvl w:val="0"/>
                <w:numId w:val="16"/>
              </w:numPr>
              <w:spacing w:after="0" w:line="240" w:lineRule="auto"/>
              <w:contextualSpacing/>
              <w:jc w:val="both"/>
            </w:pPr>
            <w:r>
              <w:t>Občan</w:t>
            </w:r>
          </w:p>
          <w:p w14:paraId="065BB15F" w14:textId="77777777" w:rsidR="008D6DD3" w:rsidRDefault="008D6DD3" w:rsidP="00FE1D5F">
            <w:pPr>
              <w:spacing w:after="0" w:line="240" w:lineRule="auto"/>
              <w:contextualSpacing/>
              <w:jc w:val="both"/>
            </w:pPr>
          </w:p>
          <w:p w14:paraId="06B047B5" w14:textId="77777777" w:rsidR="008D6DD3" w:rsidRDefault="008D6DD3" w:rsidP="00FE1D5F">
            <w:pPr>
              <w:spacing w:after="0" w:line="240" w:lineRule="auto"/>
              <w:contextualSpacing/>
              <w:jc w:val="both"/>
            </w:pPr>
          </w:p>
          <w:p w14:paraId="33BB9517" w14:textId="77777777" w:rsidR="008D6DD3" w:rsidRDefault="008D6DD3" w:rsidP="00FE1D5F">
            <w:pPr>
              <w:pStyle w:val="Odstavecseseznamem"/>
              <w:numPr>
                <w:ilvl w:val="0"/>
                <w:numId w:val="16"/>
              </w:numPr>
              <w:spacing w:after="0" w:line="240" w:lineRule="auto"/>
              <w:contextualSpacing/>
              <w:jc w:val="both"/>
            </w:pPr>
            <w:r>
              <w:t>Rodina</w:t>
            </w:r>
          </w:p>
          <w:p w14:paraId="3E535EE2" w14:textId="77777777" w:rsidR="008D6DD3" w:rsidRDefault="008D6DD3" w:rsidP="00FE1D5F">
            <w:pPr>
              <w:pStyle w:val="Odstavecseseznamem"/>
              <w:spacing w:after="0" w:line="240" w:lineRule="auto"/>
              <w:contextualSpacing/>
              <w:jc w:val="both"/>
            </w:pPr>
          </w:p>
          <w:p w14:paraId="1F6BE18A" w14:textId="77777777" w:rsidR="008D6DD3" w:rsidRDefault="008D6DD3" w:rsidP="00FE1D5F">
            <w:pPr>
              <w:pStyle w:val="Odstavecseseznamem"/>
              <w:spacing w:after="0" w:line="240" w:lineRule="auto"/>
              <w:contextualSpacing/>
              <w:jc w:val="both"/>
            </w:pPr>
          </w:p>
          <w:p w14:paraId="08B83205" w14:textId="77777777" w:rsidR="008D6DD3" w:rsidRDefault="008D6DD3" w:rsidP="00FE1D5F">
            <w:pPr>
              <w:pStyle w:val="Odstavecseseznamem"/>
              <w:numPr>
                <w:ilvl w:val="0"/>
                <w:numId w:val="16"/>
              </w:numPr>
              <w:spacing w:after="0" w:line="240" w:lineRule="auto"/>
              <w:contextualSpacing/>
              <w:jc w:val="both"/>
            </w:pPr>
            <w:r>
              <w:t>Spolky</w:t>
            </w:r>
          </w:p>
          <w:p w14:paraId="1D6396DA" w14:textId="77777777" w:rsidR="008D6DD3" w:rsidRDefault="008D6DD3" w:rsidP="00FE1D5F">
            <w:pPr>
              <w:pStyle w:val="Odstavecseseznamem"/>
              <w:spacing w:after="0" w:line="240" w:lineRule="auto"/>
              <w:contextualSpacing/>
              <w:jc w:val="both"/>
            </w:pPr>
          </w:p>
          <w:p w14:paraId="109EE30B" w14:textId="77777777" w:rsidR="008D6DD3" w:rsidRDefault="008D6DD3" w:rsidP="00FE1D5F">
            <w:pPr>
              <w:pStyle w:val="Odstavecseseznamem"/>
              <w:numPr>
                <w:ilvl w:val="0"/>
                <w:numId w:val="16"/>
              </w:numPr>
              <w:spacing w:after="0" w:line="240" w:lineRule="auto"/>
              <w:contextualSpacing/>
              <w:jc w:val="both"/>
            </w:pPr>
            <w:r>
              <w:t>Stát, Resorty</w:t>
            </w:r>
          </w:p>
          <w:p w14:paraId="3A78D92A" w14:textId="77777777" w:rsidR="008D6DD3" w:rsidRDefault="008D6DD3" w:rsidP="00FE1D5F">
            <w:pPr>
              <w:spacing w:after="0" w:line="240" w:lineRule="auto"/>
              <w:contextualSpacing/>
              <w:jc w:val="both"/>
            </w:pPr>
          </w:p>
          <w:p w14:paraId="492FF4A0" w14:textId="77777777" w:rsidR="008D6DD3" w:rsidRDefault="008D6DD3" w:rsidP="00FE1D5F">
            <w:pPr>
              <w:pStyle w:val="Odstavecseseznamem"/>
              <w:numPr>
                <w:ilvl w:val="0"/>
                <w:numId w:val="16"/>
              </w:numPr>
              <w:spacing w:after="0" w:line="240" w:lineRule="auto"/>
              <w:contextualSpacing/>
              <w:jc w:val="both"/>
            </w:pPr>
            <w:r>
              <w:t>Odbory</w:t>
            </w:r>
          </w:p>
          <w:p w14:paraId="4FC88C32" w14:textId="77777777" w:rsidR="008D6DD3" w:rsidRDefault="008D6DD3" w:rsidP="00FE1D5F">
            <w:pPr>
              <w:spacing w:after="0" w:line="240" w:lineRule="auto"/>
              <w:contextualSpacing/>
              <w:jc w:val="both"/>
            </w:pPr>
          </w:p>
          <w:p w14:paraId="5BB72D7C" w14:textId="77777777" w:rsidR="008D6DD3" w:rsidRDefault="008D6DD3" w:rsidP="00FE1D5F">
            <w:pPr>
              <w:pStyle w:val="Odstavecseseznamem"/>
              <w:numPr>
                <w:ilvl w:val="0"/>
                <w:numId w:val="16"/>
              </w:numPr>
              <w:spacing w:after="0" w:line="240" w:lineRule="auto"/>
              <w:contextualSpacing/>
              <w:jc w:val="both"/>
            </w:pPr>
            <w:r>
              <w:t>Samospráva</w:t>
            </w:r>
          </w:p>
          <w:p w14:paraId="1D58C74A" w14:textId="77777777" w:rsidR="008D6DD3" w:rsidRDefault="008D6DD3" w:rsidP="00FE1D5F">
            <w:pPr>
              <w:pStyle w:val="Odstavecseseznamem"/>
              <w:spacing w:after="0" w:line="240" w:lineRule="auto"/>
              <w:contextualSpacing/>
              <w:jc w:val="both"/>
            </w:pPr>
          </w:p>
          <w:p w14:paraId="71E2222B" w14:textId="77777777" w:rsidR="008D6DD3" w:rsidRDefault="008D6DD3" w:rsidP="00FE1D5F">
            <w:pPr>
              <w:pStyle w:val="Odstavecseseznamem"/>
              <w:spacing w:after="0" w:line="240" w:lineRule="auto"/>
              <w:contextualSpacing/>
              <w:jc w:val="both"/>
            </w:pPr>
          </w:p>
          <w:p w14:paraId="0B45C5FC" w14:textId="77777777" w:rsidR="008D6DD3" w:rsidRDefault="008D6DD3" w:rsidP="00FE1D5F">
            <w:pPr>
              <w:pStyle w:val="Odstavecseseznamem"/>
              <w:numPr>
                <w:ilvl w:val="0"/>
                <w:numId w:val="16"/>
              </w:numPr>
              <w:spacing w:after="0" w:line="240" w:lineRule="auto"/>
              <w:contextualSpacing/>
              <w:jc w:val="both"/>
            </w:pPr>
            <w:r>
              <w:t>Zaměstnavatelé</w:t>
            </w:r>
          </w:p>
          <w:p w14:paraId="0EC8F97D" w14:textId="77777777" w:rsidR="008D6DD3" w:rsidRDefault="008D6DD3" w:rsidP="00FE1D5F">
            <w:pPr>
              <w:spacing w:after="0" w:line="240" w:lineRule="auto"/>
              <w:contextualSpacing/>
              <w:jc w:val="both"/>
            </w:pPr>
          </w:p>
          <w:p w14:paraId="4F17F8F1" w14:textId="77777777" w:rsidR="008D6DD3" w:rsidRDefault="008D6DD3" w:rsidP="00FE1D5F">
            <w:pPr>
              <w:spacing w:after="0" w:line="240" w:lineRule="auto"/>
              <w:contextualSpacing/>
              <w:jc w:val="both"/>
            </w:pPr>
          </w:p>
          <w:p w14:paraId="65B608CB" w14:textId="77777777" w:rsidR="008D6DD3" w:rsidRDefault="008D6DD3" w:rsidP="00FE1D5F">
            <w:pPr>
              <w:pStyle w:val="Odstavecseseznamem"/>
              <w:numPr>
                <w:ilvl w:val="0"/>
                <w:numId w:val="16"/>
              </w:numPr>
              <w:spacing w:after="0" w:line="240" w:lineRule="auto"/>
              <w:contextualSpacing/>
              <w:jc w:val="both"/>
            </w:pPr>
            <w:r>
              <w:t>NNO</w:t>
            </w:r>
          </w:p>
          <w:p w14:paraId="137C4C62" w14:textId="77777777" w:rsidR="008D6DD3" w:rsidRDefault="008D6DD3" w:rsidP="00FE1D5F">
            <w:pPr>
              <w:spacing w:after="0" w:line="240" w:lineRule="auto"/>
              <w:contextualSpacing/>
              <w:jc w:val="both"/>
            </w:pPr>
          </w:p>
          <w:p w14:paraId="228B1003" w14:textId="77777777" w:rsidR="008D6DD3" w:rsidRDefault="008D6DD3" w:rsidP="00FE1D5F">
            <w:pPr>
              <w:spacing w:after="0" w:line="240" w:lineRule="auto"/>
              <w:contextualSpacing/>
              <w:jc w:val="both"/>
            </w:pPr>
          </w:p>
          <w:p w14:paraId="4BF216B6" w14:textId="77777777" w:rsidR="008D6DD3" w:rsidRDefault="008D6DD3" w:rsidP="00FE1D5F">
            <w:pPr>
              <w:pStyle w:val="Odstavecseseznamem"/>
              <w:numPr>
                <w:ilvl w:val="0"/>
                <w:numId w:val="16"/>
              </w:numPr>
              <w:spacing w:after="0" w:line="240" w:lineRule="auto"/>
              <w:contextualSpacing/>
              <w:jc w:val="both"/>
            </w:pPr>
            <w:r>
              <w:t>Poskytovatelé sociálních služeb</w:t>
            </w:r>
          </w:p>
          <w:p w14:paraId="215E12DE" w14:textId="77777777" w:rsidR="008D6DD3" w:rsidRDefault="008D6DD3" w:rsidP="00FE1D5F">
            <w:pPr>
              <w:spacing w:after="0" w:line="240" w:lineRule="auto"/>
              <w:contextualSpacing/>
              <w:jc w:val="both"/>
            </w:pPr>
          </w:p>
          <w:p w14:paraId="3106A4D1" w14:textId="77777777" w:rsidR="008D6DD3" w:rsidRDefault="008D6DD3" w:rsidP="00FE1D5F">
            <w:pPr>
              <w:pStyle w:val="Odstavecseseznamem"/>
              <w:numPr>
                <w:ilvl w:val="0"/>
                <w:numId w:val="16"/>
              </w:numPr>
              <w:spacing w:after="0" w:line="240" w:lineRule="auto"/>
              <w:contextualSpacing/>
              <w:jc w:val="both"/>
            </w:pPr>
            <w:r>
              <w:t>Akademická sféra, všechny stupně vzdělání</w:t>
            </w:r>
          </w:p>
          <w:p w14:paraId="66EDBB6B" w14:textId="77777777" w:rsidR="008D6DD3" w:rsidRDefault="008D6DD3" w:rsidP="00FE1D5F">
            <w:pPr>
              <w:spacing w:after="0" w:line="240" w:lineRule="auto"/>
              <w:contextualSpacing/>
              <w:jc w:val="both"/>
            </w:pPr>
          </w:p>
          <w:p w14:paraId="493BDB60" w14:textId="77777777" w:rsidR="008D6DD3" w:rsidRDefault="008D6DD3" w:rsidP="00FE1D5F">
            <w:pPr>
              <w:pStyle w:val="Odstavecseseznamem"/>
              <w:numPr>
                <w:ilvl w:val="0"/>
                <w:numId w:val="16"/>
              </w:numPr>
              <w:spacing w:after="0" w:line="240" w:lineRule="auto"/>
              <w:contextualSpacing/>
              <w:jc w:val="both"/>
            </w:pPr>
            <w:r>
              <w:t xml:space="preserve">Média </w:t>
            </w:r>
          </w:p>
          <w:p w14:paraId="185BD41C" w14:textId="77777777" w:rsidR="008D6DD3" w:rsidRDefault="008D6DD3" w:rsidP="00FE1D5F">
            <w:pPr>
              <w:spacing w:after="0" w:line="240" w:lineRule="auto"/>
              <w:contextualSpacing/>
              <w:jc w:val="both"/>
            </w:pPr>
          </w:p>
          <w:p w14:paraId="15E4EEAC" w14:textId="77777777" w:rsidR="008D6DD3" w:rsidRDefault="008D6DD3" w:rsidP="00FE1D5F">
            <w:pPr>
              <w:pStyle w:val="Odstavecseseznamem"/>
              <w:numPr>
                <w:ilvl w:val="0"/>
                <w:numId w:val="16"/>
              </w:numPr>
              <w:spacing w:after="0" w:line="240" w:lineRule="auto"/>
              <w:contextualSpacing/>
              <w:jc w:val="both"/>
            </w:pPr>
            <w:r>
              <w:t>Veřejná ochránkyně práv</w:t>
            </w:r>
          </w:p>
          <w:p w14:paraId="0AA4EE51" w14:textId="77777777" w:rsidR="008D6DD3" w:rsidRDefault="008D6DD3" w:rsidP="00FE1D5F">
            <w:pPr>
              <w:pStyle w:val="Odstavecseseznamem"/>
              <w:spacing w:after="0" w:line="240" w:lineRule="auto"/>
              <w:contextualSpacing/>
              <w:jc w:val="both"/>
            </w:pPr>
          </w:p>
          <w:p w14:paraId="745744E2" w14:textId="77777777" w:rsidR="008D6DD3" w:rsidRDefault="008D6DD3" w:rsidP="00FE1D5F">
            <w:pPr>
              <w:pStyle w:val="Odstavecseseznamem"/>
              <w:spacing w:after="0" w:line="240" w:lineRule="auto"/>
              <w:contextualSpacing/>
              <w:jc w:val="both"/>
            </w:pPr>
          </w:p>
          <w:p w14:paraId="52FA796D" w14:textId="77777777" w:rsidR="008D6DD3" w:rsidRDefault="008D6DD3" w:rsidP="00FE1D5F">
            <w:pPr>
              <w:pStyle w:val="Odstavecseseznamem"/>
              <w:spacing w:after="0" w:line="240" w:lineRule="auto"/>
              <w:contextualSpacing/>
              <w:jc w:val="both"/>
            </w:pPr>
            <w:r>
              <w:t>Zdravotní pojišťovny</w:t>
            </w:r>
          </w:p>
          <w:p w14:paraId="6E113704" w14:textId="77777777" w:rsidR="008D6DD3" w:rsidRDefault="008D6DD3" w:rsidP="00FE1D5F">
            <w:pPr>
              <w:pStyle w:val="Odstavecseseznamem"/>
              <w:spacing w:after="0" w:line="240" w:lineRule="auto"/>
              <w:contextualSpacing/>
              <w:jc w:val="both"/>
            </w:pPr>
          </w:p>
          <w:p w14:paraId="25788E4A" w14:textId="77777777" w:rsidR="008D6DD3" w:rsidRDefault="008D6DD3" w:rsidP="00FE1D5F">
            <w:pPr>
              <w:pStyle w:val="Odstavecseseznamem"/>
              <w:spacing w:after="0" w:line="240" w:lineRule="auto"/>
              <w:contextualSpacing/>
              <w:jc w:val="both"/>
            </w:pPr>
            <w:r>
              <w:t>Úřad práce ČR</w:t>
            </w:r>
          </w:p>
        </w:tc>
        <w:tc>
          <w:tcPr>
            <w:tcW w:w="4836" w:type="dxa"/>
            <w:tcBorders>
              <w:top w:val="single" w:sz="4" w:space="0" w:color="auto"/>
              <w:left w:val="single" w:sz="4" w:space="0" w:color="auto"/>
              <w:bottom w:val="single" w:sz="4" w:space="0" w:color="auto"/>
              <w:right w:val="single" w:sz="4" w:space="0" w:color="auto"/>
            </w:tcBorders>
          </w:tcPr>
          <w:p w14:paraId="1CF76DD9" w14:textId="77777777" w:rsidR="008D6DD3" w:rsidRDefault="008D6DD3" w:rsidP="00FE1D5F">
            <w:pPr>
              <w:pStyle w:val="Odstavecseseznamem"/>
              <w:numPr>
                <w:ilvl w:val="0"/>
                <w:numId w:val="17"/>
              </w:numPr>
              <w:spacing w:after="0" w:line="240" w:lineRule="auto"/>
              <w:contextualSpacing/>
              <w:jc w:val="both"/>
            </w:pPr>
            <w:r>
              <w:lastRenderedPageBreak/>
              <w:t>Vlastní odpovědnost již od mládí za svůj život, aktivní přístup k životu, zapojení se do společnosti, nezávislý život, celoživotní učení.</w:t>
            </w:r>
          </w:p>
          <w:p w14:paraId="5B3DE3D0" w14:textId="77777777" w:rsidR="008D6DD3" w:rsidRDefault="008D6DD3" w:rsidP="00FE1D5F">
            <w:pPr>
              <w:pStyle w:val="Odstavecseseznamem"/>
              <w:numPr>
                <w:ilvl w:val="0"/>
                <w:numId w:val="17"/>
              </w:numPr>
              <w:spacing w:after="0" w:line="240" w:lineRule="auto"/>
              <w:contextualSpacing/>
              <w:jc w:val="both"/>
            </w:pPr>
            <w:r>
              <w:t>Významná hodnota pro většinu společnosti, budování kvalitních mezilidských vztahů a rodinných vazeb.</w:t>
            </w:r>
          </w:p>
          <w:p w14:paraId="7059956D" w14:textId="77777777" w:rsidR="008D6DD3" w:rsidRDefault="008D6DD3" w:rsidP="00FE1D5F">
            <w:pPr>
              <w:pStyle w:val="Odstavecseseznamem"/>
              <w:numPr>
                <w:ilvl w:val="0"/>
                <w:numId w:val="17"/>
              </w:numPr>
              <w:spacing w:after="0" w:line="240" w:lineRule="auto"/>
              <w:contextualSpacing/>
              <w:jc w:val="both"/>
            </w:pPr>
            <w:r>
              <w:t>Sociální kontakty, zdravé a aktivní stárnutí, učení se nových věcí.</w:t>
            </w:r>
          </w:p>
          <w:p w14:paraId="37C661E5" w14:textId="77777777" w:rsidR="008D6DD3" w:rsidRDefault="008D6DD3" w:rsidP="00FE1D5F">
            <w:pPr>
              <w:pStyle w:val="Odstavecseseznamem"/>
              <w:numPr>
                <w:ilvl w:val="0"/>
                <w:numId w:val="17"/>
              </w:numPr>
              <w:spacing w:after="0" w:line="240" w:lineRule="auto"/>
              <w:contextualSpacing/>
              <w:jc w:val="both"/>
            </w:pPr>
            <w:proofErr w:type="gramStart"/>
            <w:r>
              <w:t>Vytváří</w:t>
            </w:r>
            <w:proofErr w:type="gramEnd"/>
            <w:r>
              <w:t xml:space="preserve"> prostředí, které umožní kvalitní život a autonomii, dobrovolnictví.  </w:t>
            </w:r>
          </w:p>
          <w:p w14:paraId="50A66C3A" w14:textId="77777777" w:rsidR="008D6DD3" w:rsidRDefault="008D6DD3" w:rsidP="00FE1D5F">
            <w:pPr>
              <w:pStyle w:val="Odstavecseseznamem"/>
              <w:numPr>
                <w:ilvl w:val="0"/>
                <w:numId w:val="17"/>
              </w:numPr>
              <w:spacing w:after="0" w:line="240" w:lineRule="auto"/>
              <w:contextualSpacing/>
              <w:jc w:val="both"/>
            </w:pPr>
            <w:r>
              <w:t xml:space="preserve">Pracovní podmínky přívětivé všem věkovým kategoriím. </w:t>
            </w:r>
          </w:p>
          <w:p w14:paraId="1B92C557" w14:textId="77777777" w:rsidR="008D6DD3" w:rsidRDefault="008D6DD3" w:rsidP="00FE1D5F">
            <w:pPr>
              <w:pStyle w:val="Odstavecseseznamem"/>
              <w:numPr>
                <w:ilvl w:val="0"/>
                <w:numId w:val="17"/>
              </w:numPr>
              <w:spacing w:after="0" w:line="240" w:lineRule="auto"/>
              <w:contextualSpacing/>
              <w:jc w:val="both"/>
            </w:pPr>
            <w:r>
              <w:t xml:space="preserve">Kraje, obce </w:t>
            </w:r>
            <w:proofErr w:type="gramStart"/>
            <w:r>
              <w:t>tvoří</w:t>
            </w:r>
            <w:proofErr w:type="gramEnd"/>
            <w:r>
              <w:t xml:space="preserve"> prostředí pro kvalitní a autonomní život bez ohledu na věk a zdravotní stav. </w:t>
            </w:r>
          </w:p>
          <w:p w14:paraId="68A94D08" w14:textId="77777777" w:rsidR="008D6DD3" w:rsidRDefault="008D6DD3" w:rsidP="00FE1D5F">
            <w:pPr>
              <w:pStyle w:val="Odstavecseseznamem"/>
              <w:numPr>
                <w:ilvl w:val="0"/>
                <w:numId w:val="17"/>
              </w:numPr>
              <w:spacing w:after="0" w:line="240" w:lineRule="auto"/>
              <w:contextualSpacing/>
              <w:jc w:val="both"/>
            </w:pPr>
            <w:r>
              <w:t xml:space="preserve">Firemní kultura, </w:t>
            </w:r>
            <w:proofErr w:type="spellStart"/>
            <w:r>
              <w:t>age</w:t>
            </w:r>
            <w:proofErr w:type="spellEnd"/>
            <w:r>
              <w:t xml:space="preserve"> </w:t>
            </w:r>
            <w:proofErr w:type="spellStart"/>
            <w:r>
              <w:t>managemnt</w:t>
            </w:r>
            <w:proofErr w:type="spellEnd"/>
            <w:r>
              <w:t xml:space="preserve"> podporující uplatnění dlouhodobě získaných zkušeností a znalostí. </w:t>
            </w:r>
          </w:p>
          <w:p w14:paraId="41FD0F1D" w14:textId="77777777" w:rsidR="008D6DD3" w:rsidRDefault="008D6DD3" w:rsidP="00FE1D5F">
            <w:pPr>
              <w:pStyle w:val="Odstavecseseznamem"/>
              <w:numPr>
                <w:ilvl w:val="0"/>
                <w:numId w:val="17"/>
              </w:numPr>
              <w:spacing w:after="0" w:line="240" w:lineRule="auto"/>
              <w:contextualSpacing/>
              <w:jc w:val="both"/>
            </w:pPr>
            <w:r>
              <w:t>Zdravé a aktivní stárnutí, podpora sociálních vazeb, dobrovolnictví, ochrana před izolací a osamělostí.</w:t>
            </w:r>
          </w:p>
          <w:p w14:paraId="243991E5" w14:textId="77777777" w:rsidR="008D6DD3" w:rsidRDefault="008D6DD3" w:rsidP="00FE1D5F">
            <w:pPr>
              <w:pStyle w:val="Odstavecseseznamem"/>
              <w:numPr>
                <w:ilvl w:val="0"/>
                <w:numId w:val="17"/>
              </w:numPr>
              <w:spacing w:after="0" w:line="240" w:lineRule="auto"/>
              <w:contextualSpacing/>
              <w:jc w:val="both"/>
            </w:pPr>
            <w:r>
              <w:t>Pomoc a podpora v přirozeném prostředí poskytování kvalitní a dostupné sociální péče a sociálních služeb.</w:t>
            </w:r>
          </w:p>
          <w:p w14:paraId="4F9EC72C" w14:textId="77777777" w:rsidR="008D6DD3" w:rsidRDefault="008D6DD3" w:rsidP="00FE1D5F">
            <w:pPr>
              <w:pStyle w:val="Odstavecseseznamem"/>
              <w:numPr>
                <w:ilvl w:val="0"/>
                <w:numId w:val="17"/>
              </w:numPr>
              <w:spacing w:after="0" w:line="240" w:lineRule="auto"/>
              <w:contextualSpacing/>
              <w:jc w:val="both"/>
            </w:pPr>
            <w:r>
              <w:t>Osvěta, vzdělávání, budování mezigeneračního dialogu, celoživotní učení.</w:t>
            </w:r>
          </w:p>
          <w:p w14:paraId="194BB9AE" w14:textId="77777777" w:rsidR="008D6DD3" w:rsidRDefault="008D6DD3" w:rsidP="00FE1D5F">
            <w:pPr>
              <w:pStyle w:val="Odstavecseseznamem"/>
              <w:numPr>
                <w:ilvl w:val="0"/>
                <w:numId w:val="17"/>
              </w:numPr>
              <w:spacing w:after="0" w:line="240" w:lineRule="auto"/>
              <w:contextualSpacing/>
              <w:jc w:val="both"/>
            </w:pPr>
            <w:r>
              <w:lastRenderedPageBreak/>
              <w:t xml:space="preserve">Osvěta seniorské problematiky, varovné signály o rizikovém chování seniorů na internetu. </w:t>
            </w:r>
          </w:p>
          <w:p w14:paraId="091F01C2" w14:textId="77777777" w:rsidR="008D6DD3" w:rsidRDefault="008D6DD3" w:rsidP="00FE1D5F">
            <w:pPr>
              <w:pStyle w:val="Odstavecseseznamem"/>
              <w:numPr>
                <w:ilvl w:val="0"/>
                <w:numId w:val="17"/>
              </w:numPr>
              <w:spacing w:after="0" w:line="240" w:lineRule="auto"/>
              <w:contextualSpacing/>
              <w:jc w:val="both"/>
            </w:pPr>
            <w:r>
              <w:t>Znevýhodnění na pracovním trhu, ochrana před diskriminací, týráním, zneužíváním a ochrana spotřebitele.</w:t>
            </w:r>
          </w:p>
          <w:p w14:paraId="05933623" w14:textId="77777777" w:rsidR="008D6DD3" w:rsidRDefault="008D6DD3" w:rsidP="00FE1D5F">
            <w:pPr>
              <w:pStyle w:val="Odstavecseseznamem"/>
              <w:spacing w:after="0" w:line="240" w:lineRule="auto"/>
              <w:contextualSpacing/>
              <w:jc w:val="both"/>
            </w:pPr>
            <w:r>
              <w:t xml:space="preserve">Ergonomie, posílení zdravého životního stylu, podpora preventivní zdravotní péče. </w:t>
            </w:r>
          </w:p>
          <w:p w14:paraId="7B909B34" w14:textId="77777777" w:rsidR="008D6DD3" w:rsidRPr="005317EB" w:rsidRDefault="008D6DD3" w:rsidP="00FE1D5F">
            <w:pPr>
              <w:pStyle w:val="Odstavecseseznamem"/>
              <w:spacing w:after="0" w:line="240" w:lineRule="auto"/>
              <w:contextualSpacing/>
              <w:jc w:val="both"/>
            </w:pPr>
            <w:r>
              <w:t>Podpora zaměstnávání osob 50+ a osob znevýhodněných na trhu práce</w:t>
            </w:r>
          </w:p>
        </w:tc>
      </w:tr>
    </w:tbl>
    <w:p w14:paraId="05772741" w14:textId="77777777" w:rsidR="008D6DD3" w:rsidRDefault="008D6DD3" w:rsidP="00F6474F">
      <w:pPr>
        <w:pStyle w:val="xmsonormal"/>
        <w:spacing w:after="200" w:line="360" w:lineRule="auto"/>
        <w:jc w:val="both"/>
        <w:rPr>
          <w:rFonts w:ascii="Arial" w:hAnsi="Arial" w:cs="Arial"/>
          <w:sz w:val="24"/>
          <w:szCs w:val="24"/>
        </w:rPr>
      </w:pPr>
    </w:p>
    <w:p w14:paraId="13D4A3AC" w14:textId="1E503111" w:rsidR="00F6474F" w:rsidRDefault="00D8159E" w:rsidP="00F6474F">
      <w:pPr>
        <w:pStyle w:val="xmsonormal"/>
        <w:spacing w:after="200" w:line="360" w:lineRule="auto"/>
        <w:jc w:val="both"/>
        <w:rPr>
          <w:rFonts w:ascii="Arial" w:hAnsi="Arial" w:cs="Arial"/>
          <w:sz w:val="24"/>
          <w:szCs w:val="24"/>
        </w:rPr>
      </w:pPr>
      <w:r>
        <w:rPr>
          <w:rFonts w:ascii="Arial" w:hAnsi="Arial" w:cs="Arial"/>
          <w:sz w:val="24"/>
          <w:szCs w:val="24"/>
        </w:rPr>
        <w:t>V neposlední řadě je nutné zdůraznit, že t</w:t>
      </w:r>
      <w:r w:rsidR="00DB0C93" w:rsidRPr="00FD2D4F">
        <w:rPr>
          <w:rFonts w:ascii="Arial" w:hAnsi="Arial" w:cs="Arial"/>
          <w:sz w:val="24"/>
          <w:szCs w:val="24"/>
        </w:rPr>
        <w:t>rendy na trhu práce, včetně rychle se měnících požadavků na dovednosti, spolu s</w:t>
      </w:r>
      <w:r w:rsidR="00DB0C93">
        <w:rPr>
          <w:rFonts w:ascii="Arial" w:hAnsi="Arial" w:cs="Arial"/>
          <w:sz w:val="24"/>
          <w:szCs w:val="24"/>
        </w:rPr>
        <w:t> </w:t>
      </w:r>
      <w:r w:rsidR="00DB0C93" w:rsidRPr="00FD2D4F">
        <w:rPr>
          <w:rFonts w:ascii="Arial" w:hAnsi="Arial" w:cs="Arial"/>
          <w:sz w:val="24"/>
          <w:szCs w:val="24"/>
        </w:rPr>
        <w:t xml:space="preserve">nárůstem nejistoty spojené s novými </w:t>
      </w:r>
      <w:r w:rsidR="00DB0C93" w:rsidRPr="002F74B5">
        <w:rPr>
          <w:rFonts w:ascii="Arial" w:hAnsi="Arial" w:cs="Arial"/>
          <w:b/>
          <w:bCs/>
          <w:sz w:val="24"/>
          <w:szCs w:val="24"/>
        </w:rPr>
        <w:t>megatrendy</w:t>
      </w:r>
      <w:r w:rsidR="00DB0C93">
        <w:rPr>
          <w:rStyle w:val="Znakapoznpodarou"/>
          <w:rFonts w:ascii="Arial" w:hAnsi="Arial"/>
          <w:sz w:val="24"/>
          <w:szCs w:val="24"/>
        </w:rPr>
        <w:footnoteReference w:id="3"/>
      </w:r>
      <w:r w:rsidR="00DB0C93" w:rsidRPr="00FD2D4F">
        <w:rPr>
          <w:rFonts w:ascii="Arial" w:hAnsi="Arial" w:cs="Arial"/>
          <w:sz w:val="24"/>
          <w:szCs w:val="24"/>
        </w:rPr>
        <w:t xml:space="preserve"> </w:t>
      </w:r>
      <w:r w:rsidR="00DB0C93" w:rsidRPr="002F74B5">
        <w:rPr>
          <w:rFonts w:ascii="Arial" w:hAnsi="Arial" w:cs="Arial"/>
          <w:b/>
          <w:bCs/>
          <w:sz w:val="24"/>
          <w:szCs w:val="24"/>
        </w:rPr>
        <w:t>vyvíjí tlak na veřejné politiky</w:t>
      </w:r>
      <w:r>
        <w:rPr>
          <w:rFonts w:ascii="Arial" w:hAnsi="Arial" w:cs="Arial"/>
          <w:sz w:val="24"/>
          <w:szCs w:val="24"/>
        </w:rPr>
        <w:t xml:space="preserve"> s cílem</w:t>
      </w:r>
      <w:r w:rsidR="00DB0C93">
        <w:rPr>
          <w:rFonts w:ascii="Arial" w:hAnsi="Arial" w:cs="Arial"/>
          <w:sz w:val="24"/>
          <w:szCs w:val="24"/>
        </w:rPr>
        <w:t xml:space="preserve"> </w:t>
      </w:r>
      <w:r>
        <w:rPr>
          <w:rFonts w:ascii="Arial" w:hAnsi="Arial" w:cs="Arial"/>
          <w:sz w:val="24"/>
          <w:szCs w:val="24"/>
        </w:rPr>
        <w:t>zlepšit</w:t>
      </w:r>
      <w:r w:rsidR="00DB0C93">
        <w:rPr>
          <w:rFonts w:ascii="Arial" w:hAnsi="Arial" w:cs="Arial"/>
          <w:sz w:val="24"/>
          <w:szCs w:val="24"/>
        </w:rPr>
        <w:t xml:space="preserve"> přístup</w:t>
      </w:r>
      <w:r>
        <w:rPr>
          <w:rFonts w:ascii="Arial" w:hAnsi="Arial" w:cs="Arial"/>
          <w:sz w:val="24"/>
          <w:szCs w:val="24"/>
        </w:rPr>
        <w:t>u</w:t>
      </w:r>
      <w:r w:rsidR="00DB0C93">
        <w:rPr>
          <w:rFonts w:ascii="Arial" w:hAnsi="Arial" w:cs="Arial"/>
          <w:sz w:val="24"/>
          <w:szCs w:val="24"/>
        </w:rPr>
        <w:t xml:space="preserve"> na trh práce, </w:t>
      </w:r>
      <w:r>
        <w:rPr>
          <w:rFonts w:ascii="Arial" w:hAnsi="Arial" w:cs="Arial"/>
          <w:sz w:val="24"/>
          <w:szCs w:val="24"/>
        </w:rPr>
        <w:t>zvyšování kvalifikace, zajištění</w:t>
      </w:r>
      <w:r w:rsidR="00DB0C93">
        <w:rPr>
          <w:rFonts w:ascii="Arial" w:hAnsi="Arial" w:cs="Arial"/>
          <w:sz w:val="24"/>
          <w:szCs w:val="24"/>
        </w:rPr>
        <w:t xml:space="preserve"> důstojn</w:t>
      </w:r>
      <w:r>
        <w:rPr>
          <w:rFonts w:ascii="Arial" w:hAnsi="Arial" w:cs="Arial"/>
          <w:sz w:val="24"/>
          <w:szCs w:val="24"/>
        </w:rPr>
        <w:t>é</w:t>
      </w:r>
      <w:r w:rsidR="00DB0C93">
        <w:rPr>
          <w:rFonts w:ascii="Arial" w:hAnsi="Arial" w:cs="Arial"/>
          <w:sz w:val="24"/>
          <w:szCs w:val="24"/>
        </w:rPr>
        <w:t xml:space="preserve"> mzd</w:t>
      </w:r>
      <w:r>
        <w:rPr>
          <w:rFonts w:ascii="Arial" w:hAnsi="Arial" w:cs="Arial"/>
          <w:sz w:val="24"/>
          <w:szCs w:val="24"/>
        </w:rPr>
        <w:t>y</w:t>
      </w:r>
      <w:r w:rsidR="00DB0C93">
        <w:rPr>
          <w:rFonts w:ascii="Arial" w:hAnsi="Arial" w:cs="Arial"/>
          <w:sz w:val="24"/>
          <w:szCs w:val="24"/>
        </w:rPr>
        <w:t>, poskyt</w:t>
      </w:r>
      <w:r>
        <w:rPr>
          <w:rFonts w:ascii="Arial" w:hAnsi="Arial" w:cs="Arial"/>
          <w:sz w:val="24"/>
          <w:szCs w:val="24"/>
        </w:rPr>
        <w:t>nutí</w:t>
      </w:r>
      <w:r w:rsidR="00DB0C93">
        <w:rPr>
          <w:rFonts w:ascii="Arial" w:hAnsi="Arial" w:cs="Arial"/>
          <w:sz w:val="24"/>
          <w:szCs w:val="24"/>
        </w:rPr>
        <w:t xml:space="preserve"> přiměřen</w:t>
      </w:r>
      <w:r>
        <w:rPr>
          <w:rFonts w:ascii="Arial" w:hAnsi="Arial" w:cs="Arial"/>
          <w:sz w:val="24"/>
          <w:szCs w:val="24"/>
        </w:rPr>
        <w:t>é</w:t>
      </w:r>
      <w:r w:rsidR="00DB0C93">
        <w:rPr>
          <w:rFonts w:ascii="Arial" w:hAnsi="Arial" w:cs="Arial"/>
          <w:sz w:val="24"/>
          <w:szCs w:val="24"/>
        </w:rPr>
        <w:t xml:space="preserve"> ochran</w:t>
      </w:r>
      <w:r>
        <w:rPr>
          <w:rFonts w:ascii="Arial" w:hAnsi="Arial" w:cs="Arial"/>
          <w:sz w:val="24"/>
          <w:szCs w:val="24"/>
        </w:rPr>
        <w:t>y</w:t>
      </w:r>
      <w:r w:rsidR="00DB0C93">
        <w:rPr>
          <w:rFonts w:ascii="Arial" w:hAnsi="Arial" w:cs="Arial"/>
          <w:sz w:val="24"/>
          <w:szCs w:val="24"/>
        </w:rPr>
        <w:t xml:space="preserve"> a péč</w:t>
      </w:r>
      <w:r>
        <w:rPr>
          <w:rFonts w:ascii="Arial" w:hAnsi="Arial" w:cs="Arial"/>
          <w:sz w:val="24"/>
          <w:szCs w:val="24"/>
        </w:rPr>
        <w:t>e</w:t>
      </w:r>
      <w:r w:rsidR="00DB0C93">
        <w:rPr>
          <w:rFonts w:ascii="Arial" w:hAnsi="Arial" w:cs="Arial"/>
          <w:sz w:val="24"/>
          <w:szCs w:val="24"/>
        </w:rPr>
        <w:t xml:space="preserve">, </w:t>
      </w:r>
      <w:r>
        <w:rPr>
          <w:rFonts w:ascii="Arial" w:hAnsi="Arial" w:cs="Arial"/>
          <w:sz w:val="24"/>
          <w:szCs w:val="24"/>
        </w:rPr>
        <w:t>podpořit</w:t>
      </w:r>
      <w:r w:rsidR="00DB0C93" w:rsidRPr="00C16E5D">
        <w:rPr>
          <w:rFonts w:ascii="Arial" w:hAnsi="Arial" w:cs="Arial"/>
          <w:sz w:val="24"/>
          <w:szCs w:val="24"/>
        </w:rPr>
        <w:t xml:space="preserve"> </w:t>
      </w:r>
      <w:r w:rsidR="00DB0C93">
        <w:rPr>
          <w:rFonts w:ascii="Arial" w:hAnsi="Arial" w:cs="Arial"/>
          <w:sz w:val="24"/>
          <w:szCs w:val="24"/>
        </w:rPr>
        <w:t>aktivní stárnutí a zdravý životní styl apod</w:t>
      </w:r>
      <w:r w:rsidR="00DB0C93" w:rsidRPr="00C16E5D">
        <w:rPr>
          <w:rFonts w:ascii="Arial" w:hAnsi="Arial" w:cs="Arial"/>
          <w:sz w:val="24"/>
          <w:szCs w:val="24"/>
        </w:rPr>
        <w:t>.</w:t>
      </w:r>
      <w:r w:rsidR="00DB0C93">
        <w:rPr>
          <w:rFonts w:ascii="Arial" w:hAnsi="Arial" w:cs="Arial"/>
          <w:sz w:val="24"/>
          <w:szCs w:val="24"/>
        </w:rPr>
        <w:t xml:space="preserve"> </w:t>
      </w:r>
      <w:r w:rsidR="00486368" w:rsidRPr="00486368">
        <w:rPr>
          <w:rFonts w:ascii="Arial" w:hAnsi="Arial" w:cs="Arial"/>
          <w:sz w:val="24"/>
          <w:szCs w:val="24"/>
        </w:rPr>
        <w:t xml:space="preserve"> </w:t>
      </w:r>
      <w:r w:rsidR="00F6474F">
        <w:rPr>
          <w:rFonts w:ascii="Arial" w:hAnsi="Arial" w:cs="Arial"/>
          <w:sz w:val="24"/>
          <w:szCs w:val="24"/>
        </w:rPr>
        <w:t xml:space="preserve">Plánování vychází ze zásady, že sociální stát je investicí s dlouhodobou výnosnou návratností. </w:t>
      </w:r>
      <w:r w:rsidR="00F6474F" w:rsidRPr="00413F4F">
        <w:rPr>
          <w:rFonts w:ascii="Arial" w:hAnsi="Arial" w:cs="Arial"/>
          <w:sz w:val="24"/>
          <w:szCs w:val="24"/>
        </w:rPr>
        <w:t>Moderní sociální stát by měl poskytovat silné rezervy proti ekonomickým šokům a investovat do "odrazových můstků", které pomáhají lidem v kritických životních přechodech.</w:t>
      </w:r>
      <w:r w:rsidR="00F6474F">
        <w:rPr>
          <w:rFonts w:ascii="Arial" w:hAnsi="Arial" w:cs="Arial"/>
          <w:sz w:val="24"/>
          <w:szCs w:val="24"/>
        </w:rPr>
        <w:t xml:space="preserve"> Ekonomiku, společnost a trh práce ovlivňují čtyři zásadní megatrendy, a to demografické změny, nové pracovní prostředí, digitální transformace a</w:t>
      </w:r>
      <w:r w:rsidR="00F6474F" w:rsidRPr="00291A8D">
        <w:rPr>
          <w:rFonts w:ascii="Arial" w:hAnsi="Arial" w:cs="Arial"/>
          <w:sz w:val="24"/>
          <w:szCs w:val="24"/>
        </w:rPr>
        <w:t xml:space="preserve"> </w:t>
      </w:r>
      <w:r w:rsidR="00F6474F">
        <w:rPr>
          <w:rFonts w:ascii="Arial" w:hAnsi="Arial" w:cs="Arial"/>
          <w:sz w:val="24"/>
          <w:szCs w:val="24"/>
        </w:rPr>
        <w:t>klimatická krize.</w:t>
      </w:r>
      <w:r w:rsidR="00DD6884">
        <w:rPr>
          <w:rFonts w:ascii="Arial" w:hAnsi="Arial" w:cs="Arial"/>
          <w:sz w:val="24"/>
          <w:szCs w:val="24"/>
        </w:rPr>
        <w:t xml:space="preserve"> </w:t>
      </w:r>
      <w:r w:rsidR="00F6474F">
        <w:rPr>
          <w:rFonts w:ascii="Arial" w:hAnsi="Arial" w:cs="Arial"/>
          <w:sz w:val="24"/>
          <w:szCs w:val="24"/>
        </w:rPr>
        <w:t xml:space="preserve">Hospodářský růst a silný sociální stát jdou ruku v ruce. Jsou na sobě vzájemně závislé. Nové politiky tak musí zohledňovat jak dopad na trh práce a ekonomiku jako celek, tak na systémy sociální ochrany. Všechna očekávání a prognózy jsou pak zohledněny v návrhové části konkrétně pak v navrhovaných opatřeních a indikátorech.  </w:t>
      </w:r>
    </w:p>
    <w:p w14:paraId="2EB8DE2A" w14:textId="77777777" w:rsidR="00F6474F" w:rsidRPr="003E3258" w:rsidRDefault="00F6474F" w:rsidP="003E3258">
      <w:pPr>
        <w:pStyle w:val="xmsonormal"/>
        <w:spacing w:after="200" w:line="360" w:lineRule="auto"/>
        <w:jc w:val="both"/>
        <w:rPr>
          <w:rFonts w:ascii="Arial" w:hAnsi="Arial" w:cs="Arial"/>
          <w:sz w:val="24"/>
          <w:szCs w:val="24"/>
        </w:rPr>
      </w:pPr>
    </w:p>
    <w:p w14:paraId="50AB7DA3" w14:textId="43F87135" w:rsidR="0065198C" w:rsidRDefault="0065198C" w:rsidP="0065198C">
      <w:pPr>
        <w:pStyle w:val="MarginNote"/>
        <w:framePr w:wrap="around" w:y="1"/>
      </w:pPr>
      <w:r>
        <w:t>Návaznost Akčního plánu na Strategický rámec</w:t>
      </w:r>
    </w:p>
    <w:p w14:paraId="0DFC418A" w14:textId="5BD66D83" w:rsidR="00EF6C20" w:rsidRDefault="00EF6C20" w:rsidP="00EF6C20">
      <w:pPr>
        <w:spacing w:line="360" w:lineRule="auto"/>
        <w:jc w:val="both"/>
        <w:rPr>
          <w:rFonts w:ascii="Arial" w:hAnsi="Arial" w:cs="Arial"/>
          <w:sz w:val="24"/>
          <w:szCs w:val="24"/>
        </w:rPr>
      </w:pPr>
      <w:r w:rsidRPr="00F002C1">
        <w:rPr>
          <w:rFonts w:ascii="Arial" w:hAnsi="Arial" w:cs="Arial"/>
          <w:sz w:val="24"/>
          <w:szCs w:val="24"/>
        </w:rPr>
        <w:t>Akční plán</w:t>
      </w:r>
      <w:r>
        <w:rPr>
          <w:rFonts w:ascii="Arial" w:hAnsi="Arial" w:cs="Arial"/>
          <w:i/>
          <w:iCs/>
          <w:sz w:val="24"/>
          <w:szCs w:val="24"/>
        </w:rPr>
        <w:t xml:space="preserve"> </w:t>
      </w:r>
      <w:r w:rsidR="0071120B">
        <w:rPr>
          <w:rFonts w:ascii="Arial" w:hAnsi="Arial" w:cs="Arial"/>
          <w:sz w:val="24"/>
          <w:szCs w:val="24"/>
        </w:rPr>
        <w:t xml:space="preserve">aktualizuje a </w:t>
      </w:r>
      <w:r>
        <w:rPr>
          <w:rFonts w:ascii="Arial" w:hAnsi="Arial" w:cs="Arial"/>
          <w:sz w:val="24"/>
          <w:szCs w:val="24"/>
        </w:rPr>
        <w:t xml:space="preserve">rozpracovává </w:t>
      </w:r>
      <w:r w:rsidRPr="0065198C">
        <w:rPr>
          <w:rFonts w:ascii="Arial" w:hAnsi="Arial" w:cs="Arial"/>
          <w:b/>
          <w:bCs/>
          <w:sz w:val="24"/>
          <w:szCs w:val="24"/>
        </w:rPr>
        <w:t>Strategický rámec</w:t>
      </w:r>
      <w:r>
        <w:rPr>
          <w:rFonts w:ascii="Arial" w:hAnsi="Arial" w:cs="Arial"/>
          <w:sz w:val="24"/>
          <w:szCs w:val="24"/>
        </w:rPr>
        <w:t xml:space="preserve">, </w:t>
      </w:r>
      <w:r w:rsidRPr="00F1078E">
        <w:rPr>
          <w:rFonts w:ascii="Arial" w:hAnsi="Arial" w:cs="Arial"/>
          <w:sz w:val="24"/>
          <w:szCs w:val="24"/>
        </w:rPr>
        <w:t>v</w:t>
      </w:r>
      <w:r>
        <w:rPr>
          <w:rFonts w:ascii="Arial" w:hAnsi="Arial" w:cs="Arial"/>
          <w:sz w:val="24"/>
          <w:szCs w:val="24"/>
        </w:rPr>
        <w:t xml:space="preserve"> důsledku </w:t>
      </w:r>
      <w:r w:rsidRPr="00F1078E">
        <w:rPr>
          <w:rFonts w:ascii="Arial" w:hAnsi="Arial" w:cs="Arial"/>
          <w:sz w:val="24"/>
          <w:szCs w:val="24"/>
        </w:rPr>
        <w:t>nov</w:t>
      </w:r>
      <w:r>
        <w:rPr>
          <w:rFonts w:ascii="Arial" w:hAnsi="Arial" w:cs="Arial"/>
          <w:sz w:val="24"/>
          <w:szCs w:val="24"/>
        </w:rPr>
        <w:t>ých</w:t>
      </w:r>
      <w:r w:rsidRPr="00F1078E">
        <w:rPr>
          <w:rFonts w:ascii="Arial" w:hAnsi="Arial" w:cs="Arial"/>
          <w:sz w:val="24"/>
          <w:szCs w:val="24"/>
        </w:rPr>
        <w:t xml:space="preserve"> </w:t>
      </w:r>
      <w:r>
        <w:rPr>
          <w:rFonts w:ascii="Arial" w:hAnsi="Arial" w:cs="Arial"/>
          <w:sz w:val="24"/>
          <w:szCs w:val="24"/>
        </w:rPr>
        <w:t xml:space="preserve">globálních </w:t>
      </w:r>
      <w:r w:rsidRPr="00F1078E">
        <w:rPr>
          <w:rFonts w:ascii="Arial" w:hAnsi="Arial" w:cs="Arial"/>
          <w:sz w:val="24"/>
          <w:szCs w:val="24"/>
        </w:rPr>
        <w:t>výz</w:t>
      </w:r>
      <w:r>
        <w:rPr>
          <w:rFonts w:ascii="Arial" w:hAnsi="Arial" w:cs="Arial"/>
          <w:sz w:val="24"/>
          <w:szCs w:val="24"/>
        </w:rPr>
        <w:t>e</w:t>
      </w:r>
      <w:r w:rsidRPr="00F1078E">
        <w:rPr>
          <w:rFonts w:ascii="Arial" w:hAnsi="Arial" w:cs="Arial"/>
          <w:sz w:val="24"/>
          <w:szCs w:val="24"/>
        </w:rPr>
        <w:t xml:space="preserve">v </w:t>
      </w:r>
      <w:r>
        <w:rPr>
          <w:rFonts w:ascii="Arial" w:hAnsi="Arial" w:cs="Arial"/>
          <w:sz w:val="24"/>
          <w:szCs w:val="24"/>
        </w:rPr>
        <w:t xml:space="preserve">a s nimi souvisejícími </w:t>
      </w:r>
      <w:r w:rsidRPr="00F1078E">
        <w:rPr>
          <w:rFonts w:ascii="Arial" w:hAnsi="Arial" w:cs="Arial"/>
          <w:sz w:val="24"/>
          <w:szCs w:val="24"/>
        </w:rPr>
        <w:t>potřeb</w:t>
      </w:r>
      <w:r>
        <w:rPr>
          <w:rFonts w:ascii="Arial" w:hAnsi="Arial" w:cs="Arial"/>
          <w:sz w:val="24"/>
          <w:szCs w:val="24"/>
        </w:rPr>
        <w:t xml:space="preserve">ami společnosti. Oproti původnímu Strategickému rámci je </w:t>
      </w:r>
      <w:r>
        <w:rPr>
          <w:rFonts w:ascii="Arial" w:hAnsi="Arial" w:cs="Arial"/>
          <w:b/>
          <w:bCs/>
          <w:sz w:val="24"/>
          <w:szCs w:val="24"/>
        </w:rPr>
        <w:t>A</w:t>
      </w:r>
      <w:r w:rsidRPr="002F74B5">
        <w:rPr>
          <w:rFonts w:ascii="Arial" w:hAnsi="Arial" w:cs="Arial"/>
          <w:b/>
          <w:bCs/>
          <w:sz w:val="24"/>
          <w:szCs w:val="24"/>
        </w:rPr>
        <w:t xml:space="preserve">kční plán rozšířen o </w:t>
      </w:r>
      <w:r>
        <w:rPr>
          <w:rFonts w:ascii="Arial" w:hAnsi="Arial" w:cs="Arial"/>
          <w:b/>
          <w:bCs/>
          <w:sz w:val="24"/>
          <w:szCs w:val="24"/>
        </w:rPr>
        <w:t xml:space="preserve">aktuální </w:t>
      </w:r>
      <w:r w:rsidRPr="002F74B5">
        <w:rPr>
          <w:rFonts w:ascii="Arial" w:hAnsi="Arial" w:cs="Arial"/>
          <w:b/>
          <w:bCs/>
          <w:sz w:val="24"/>
          <w:szCs w:val="24"/>
        </w:rPr>
        <w:t>témata</w:t>
      </w:r>
      <w:r>
        <w:rPr>
          <w:rFonts w:ascii="Arial" w:hAnsi="Arial" w:cs="Arial"/>
          <w:sz w:val="24"/>
          <w:szCs w:val="24"/>
        </w:rPr>
        <w:t xml:space="preserve">, jejichž význam v posledních letech význačně narůstá a které </w:t>
      </w:r>
      <w:proofErr w:type="gramStart"/>
      <w:r>
        <w:rPr>
          <w:rFonts w:ascii="Arial" w:hAnsi="Arial" w:cs="Arial"/>
          <w:sz w:val="24"/>
          <w:szCs w:val="24"/>
        </w:rPr>
        <w:t>vytváří</w:t>
      </w:r>
      <w:proofErr w:type="gramEnd"/>
      <w:r>
        <w:rPr>
          <w:rFonts w:ascii="Arial" w:hAnsi="Arial" w:cs="Arial"/>
          <w:sz w:val="24"/>
          <w:szCs w:val="24"/>
        </w:rPr>
        <w:t xml:space="preserve"> prostor pro uplatnění dlouhodobě získávaných zkušeností a znalostí k růstu lidského kapitálu ve společnosti. Jedná se zejména o téma </w:t>
      </w:r>
      <w:r w:rsidRPr="00D2065B">
        <w:rPr>
          <w:rFonts w:ascii="Arial" w:hAnsi="Arial" w:cs="Arial"/>
          <w:b/>
          <w:bCs/>
          <w:sz w:val="24"/>
          <w:szCs w:val="24"/>
        </w:rPr>
        <w:t>digitální gramotnosti</w:t>
      </w:r>
      <w:r>
        <w:rPr>
          <w:rFonts w:ascii="Arial" w:hAnsi="Arial" w:cs="Arial"/>
          <w:sz w:val="24"/>
          <w:szCs w:val="24"/>
        </w:rPr>
        <w:t xml:space="preserve"> </w:t>
      </w:r>
      <w:r w:rsidR="00CC3C6B">
        <w:rPr>
          <w:rFonts w:ascii="Arial" w:hAnsi="Arial" w:cs="Arial"/>
          <w:sz w:val="24"/>
          <w:szCs w:val="24"/>
        </w:rPr>
        <w:t xml:space="preserve">a </w:t>
      </w:r>
      <w:r w:rsidR="00CC3C6B" w:rsidRPr="00CC3C6B">
        <w:rPr>
          <w:rFonts w:ascii="Arial" w:hAnsi="Arial" w:cs="Arial"/>
          <w:b/>
          <w:bCs/>
          <w:sz w:val="24"/>
          <w:szCs w:val="24"/>
        </w:rPr>
        <w:t>podpory bydlení ve standardních bytech</w:t>
      </w:r>
      <w:r w:rsidR="00CC3C6B">
        <w:rPr>
          <w:rFonts w:ascii="Arial" w:hAnsi="Arial" w:cs="Arial"/>
          <w:sz w:val="24"/>
          <w:szCs w:val="24"/>
        </w:rPr>
        <w:t xml:space="preserve">. </w:t>
      </w:r>
      <w:r>
        <w:rPr>
          <w:rFonts w:ascii="Arial" w:hAnsi="Arial" w:cs="Arial"/>
          <w:sz w:val="24"/>
          <w:szCs w:val="24"/>
        </w:rPr>
        <w:t xml:space="preserve"> Rovněž je v akčním plánu kladen důraz na </w:t>
      </w:r>
      <w:r w:rsidRPr="00CF24E1">
        <w:rPr>
          <w:rFonts w:ascii="Arial" w:hAnsi="Arial" w:cs="Arial"/>
          <w:b/>
          <w:bCs/>
          <w:sz w:val="24"/>
          <w:szCs w:val="24"/>
        </w:rPr>
        <w:t>aktivní participaci</w:t>
      </w:r>
      <w:r>
        <w:rPr>
          <w:rFonts w:ascii="Arial" w:hAnsi="Arial" w:cs="Arial"/>
          <w:sz w:val="24"/>
          <w:szCs w:val="24"/>
        </w:rPr>
        <w:t xml:space="preserve"> </w:t>
      </w:r>
      <w:r w:rsidRPr="00CF24E1">
        <w:rPr>
          <w:rFonts w:ascii="Arial" w:hAnsi="Arial" w:cs="Arial"/>
          <w:b/>
          <w:bCs/>
          <w:sz w:val="24"/>
          <w:szCs w:val="24"/>
        </w:rPr>
        <w:lastRenderedPageBreak/>
        <w:t>seniorů</w:t>
      </w:r>
      <w:r>
        <w:rPr>
          <w:rStyle w:val="Znakapoznpodarou"/>
          <w:rFonts w:ascii="Arial" w:hAnsi="Arial"/>
          <w:b/>
          <w:bCs/>
          <w:sz w:val="24"/>
          <w:szCs w:val="24"/>
        </w:rPr>
        <w:footnoteReference w:id="4"/>
      </w:r>
      <w:r>
        <w:rPr>
          <w:rFonts w:ascii="Arial" w:hAnsi="Arial" w:cs="Arial"/>
          <w:sz w:val="24"/>
          <w:szCs w:val="24"/>
        </w:rPr>
        <w:t xml:space="preserve"> ve společnosti a jejich přínos pro společnost, včetně přizpůsobení trhu práce a podporu </w:t>
      </w:r>
      <w:proofErr w:type="spellStart"/>
      <w:r>
        <w:rPr>
          <w:rFonts w:ascii="Arial" w:hAnsi="Arial" w:cs="Arial"/>
          <w:sz w:val="24"/>
          <w:szCs w:val="24"/>
        </w:rPr>
        <w:t>age</w:t>
      </w:r>
      <w:proofErr w:type="spellEnd"/>
      <w:r>
        <w:rPr>
          <w:rFonts w:ascii="Arial" w:hAnsi="Arial" w:cs="Arial"/>
          <w:sz w:val="24"/>
          <w:szCs w:val="24"/>
        </w:rPr>
        <w:t xml:space="preserve"> managementu a v neposlední řadě i na </w:t>
      </w:r>
      <w:r w:rsidRPr="002F74B5">
        <w:rPr>
          <w:rFonts w:ascii="Arial" w:hAnsi="Arial" w:cs="Arial"/>
          <w:b/>
          <w:bCs/>
          <w:sz w:val="24"/>
          <w:szCs w:val="24"/>
        </w:rPr>
        <w:t>podporu rodinných vztahů</w:t>
      </w:r>
      <w:r w:rsidRPr="00CF24E1">
        <w:rPr>
          <w:rFonts w:ascii="Arial" w:hAnsi="Arial" w:cs="Arial"/>
          <w:sz w:val="24"/>
          <w:szCs w:val="24"/>
        </w:rPr>
        <w:t xml:space="preserve"> a </w:t>
      </w:r>
      <w:r w:rsidRPr="002F74B5">
        <w:rPr>
          <w:rFonts w:ascii="Arial" w:hAnsi="Arial" w:cs="Arial"/>
          <w:b/>
          <w:bCs/>
          <w:sz w:val="24"/>
          <w:szCs w:val="24"/>
        </w:rPr>
        <w:t>rozvoj mezigenerační solidarity</w:t>
      </w:r>
      <w:r>
        <w:rPr>
          <w:rFonts w:ascii="Arial" w:hAnsi="Arial" w:cs="Arial"/>
          <w:sz w:val="24"/>
          <w:szCs w:val="24"/>
        </w:rPr>
        <w:t xml:space="preserve">.   </w:t>
      </w:r>
    </w:p>
    <w:p w14:paraId="69D47C10" w14:textId="77777777" w:rsidR="008D6DD3" w:rsidRDefault="008D6DD3" w:rsidP="008D6DD3">
      <w:pPr>
        <w:pStyle w:val="MarginNote"/>
        <w:framePr w:wrap="around" w:x="825" w:y="141"/>
      </w:pPr>
      <w:r>
        <w:t>Hodnotový rámec</w:t>
      </w:r>
    </w:p>
    <w:p w14:paraId="216B158A" w14:textId="77777777" w:rsidR="00EF6C20" w:rsidRDefault="00EF6C20" w:rsidP="00EF6C20">
      <w:pPr>
        <w:spacing w:line="360" w:lineRule="auto"/>
        <w:jc w:val="both"/>
        <w:rPr>
          <w:rFonts w:ascii="Arial" w:hAnsi="Arial" w:cs="Arial"/>
          <w:sz w:val="24"/>
          <w:szCs w:val="24"/>
        </w:rPr>
      </w:pPr>
      <w:r w:rsidRPr="00F1078E">
        <w:rPr>
          <w:rFonts w:ascii="Arial" w:hAnsi="Arial" w:cs="Arial"/>
          <w:sz w:val="24"/>
          <w:szCs w:val="24"/>
        </w:rPr>
        <w:t xml:space="preserve">Akční plán </w:t>
      </w:r>
      <w:r w:rsidRPr="00F1078E">
        <w:rPr>
          <w:rFonts w:ascii="Arial" w:hAnsi="Arial" w:cs="Arial"/>
          <w:b/>
          <w:bCs/>
          <w:sz w:val="24"/>
          <w:szCs w:val="24"/>
        </w:rPr>
        <w:t>vychází z pěti hodnotových východisek</w:t>
      </w:r>
      <w:r>
        <w:rPr>
          <w:rFonts w:ascii="Arial" w:hAnsi="Arial" w:cs="Arial"/>
          <w:b/>
          <w:bCs/>
          <w:sz w:val="24"/>
          <w:szCs w:val="24"/>
        </w:rPr>
        <w:t xml:space="preserve"> (pilířů)</w:t>
      </w:r>
      <w:r>
        <w:rPr>
          <w:rFonts w:ascii="Arial" w:hAnsi="Arial" w:cs="Arial"/>
          <w:sz w:val="24"/>
          <w:szCs w:val="24"/>
        </w:rPr>
        <w:t xml:space="preserve">: </w:t>
      </w:r>
      <w:r w:rsidRPr="00F002C1">
        <w:rPr>
          <w:rFonts w:ascii="Arial" w:hAnsi="Arial" w:cs="Arial"/>
          <w:b/>
          <w:bCs/>
          <w:sz w:val="24"/>
          <w:szCs w:val="24"/>
        </w:rPr>
        <w:t>participace</w:t>
      </w:r>
      <w:r w:rsidRPr="00F002C1">
        <w:rPr>
          <w:rFonts w:ascii="Arial" w:hAnsi="Arial" w:cs="Arial"/>
          <w:sz w:val="24"/>
          <w:szCs w:val="24"/>
        </w:rPr>
        <w:t xml:space="preserve">, </w:t>
      </w:r>
      <w:r w:rsidRPr="00F002C1">
        <w:rPr>
          <w:rFonts w:ascii="Arial" w:hAnsi="Arial" w:cs="Arial"/>
          <w:b/>
          <w:bCs/>
          <w:sz w:val="24"/>
          <w:szCs w:val="24"/>
        </w:rPr>
        <w:t>zdraví</w:t>
      </w:r>
      <w:r w:rsidRPr="00F002C1">
        <w:rPr>
          <w:rFonts w:ascii="Arial" w:hAnsi="Arial" w:cs="Arial"/>
          <w:sz w:val="24"/>
          <w:szCs w:val="24"/>
        </w:rPr>
        <w:t xml:space="preserve"> a </w:t>
      </w:r>
      <w:r w:rsidRPr="00F002C1">
        <w:rPr>
          <w:rFonts w:ascii="Arial" w:hAnsi="Arial" w:cs="Arial"/>
          <w:b/>
          <w:bCs/>
          <w:sz w:val="24"/>
          <w:szCs w:val="24"/>
        </w:rPr>
        <w:t>péče</w:t>
      </w:r>
      <w:r w:rsidRPr="00F002C1">
        <w:rPr>
          <w:rFonts w:ascii="Arial" w:hAnsi="Arial" w:cs="Arial"/>
          <w:sz w:val="24"/>
          <w:szCs w:val="24"/>
        </w:rPr>
        <w:t xml:space="preserve">, bezpečí, </w:t>
      </w:r>
      <w:proofErr w:type="spellStart"/>
      <w:r w:rsidRPr="00F002C1">
        <w:rPr>
          <w:rFonts w:ascii="Arial" w:hAnsi="Arial" w:cs="Arial"/>
          <w:b/>
          <w:bCs/>
          <w:sz w:val="24"/>
          <w:szCs w:val="24"/>
        </w:rPr>
        <w:t>resilience</w:t>
      </w:r>
      <w:proofErr w:type="spellEnd"/>
      <w:r w:rsidRPr="00F002C1">
        <w:rPr>
          <w:rFonts w:ascii="Arial" w:hAnsi="Arial" w:cs="Arial"/>
          <w:b/>
          <w:bCs/>
          <w:sz w:val="24"/>
          <w:szCs w:val="24"/>
        </w:rPr>
        <w:t>/odolnost</w:t>
      </w:r>
      <w:r w:rsidRPr="00F002C1">
        <w:rPr>
          <w:rFonts w:ascii="Arial" w:hAnsi="Arial" w:cs="Arial"/>
          <w:sz w:val="24"/>
          <w:szCs w:val="24"/>
        </w:rPr>
        <w:t xml:space="preserve"> a </w:t>
      </w:r>
      <w:r w:rsidRPr="00F002C1">
        <w:rPr>
          <w:rFonts w:ascii="Arial" w:hAnsi="Arial" w:cs="Arial"/>
          <w:b/>
          <w:bCs/>
          <w:sz w:val="24"/>
          <w:szCs w:val="24"/>
        </w:rPr>
        <w:t>rozvoj.</w:t>
      </w:r>
      <w:r w:rsidRPr="00F1078E">
        <w:rPr>
          <w:rFonts w:ascii="Arial" w:hAnsi="Arial" w:cs="Arial"/>
          <w:sz w:val="24"/>
          <w:szCs w:val="24"/>
        </w:rPr>
        <w:t xml:space="preserve"> </w:t>
      </w:r>
    </w:p>
    <w:p w14:paraId="242610C6" w14:textId="77777777" w:rsidR="00EF6C20" w:rsidRDefault="00EF6C20" w:rsidP="001D658C">
      <w:pPr>
        <w:pStyle w:val="Odstavecseseznamem"/>
        <w:numPr>
          <w:ilvl w:val="0"/>
          <w:numId w:val="29"/>
        </w:numPr>
        <w:spacing w:line="360" w:lineRule="auto"/>
        <w:jc w:val="both"/>
        <w:rPr>
          <w:rFonts w:ascii="Arial" w:hAnsi="Arial" w:cs="Arial"/>
          <w:sz w:val="24"/>
          <w:szCs w:val="24"/>
        </w:rPr>
      </w:pPr>
      <w:r w:rsidRPr="00EF6C20">
        <w:rPr>
          <w:rFonts w:ascii="Arial" w:hAnsi="Arial" w:cs="Arial"/>
          <w:sz w:val="24"/>
          <w:szCs w:val="24"/>
        </w:rPr>
        <w:t xml:space="preserve">První pilíř </w:t>
      </w:r>
      <w:proofErr w:type="gramStart"/>
      <w:r w:rsidRPr="00EF6C20">
        <w:rPr>
          <w:rFonts w:ascii="Arial" w:hAnsi="Arial" w:cs="Arial"/>
          <w:sz w:val="24"/>
          <w:szCs w:val="24"/>
        </w:rPr>
        <w:t>tvoří</w:t>
      </w:r>
      <w:proofErr w:type="gramEnd"/>
      <w:r w:rsidRPr="00EF6C20">
        <w:rPr>
          <w:rFonts w:ascii="Arial" w:hAnsi="Arial" w:cs="Arial"/>
          <w:sz w:val="24"/>
          <w:szCs w:val="24"/>
        </w:rPr>
        <w:t xml:space="preserve"> </w:t>
      </w:r>
      <w:r w:rsidRPr="00EF6C20">
        <w:rPr>
          <w:rFonts w:ascii="Arial" w:hAnsi="Arial" w:cs="Arial"/>
          <w:b/>
          <w:bCs/>
          <w:sz w:val="24"/>
          <w:szCs w:val="24"/>
        </w:rPr>
        <w:t>participace</w:t>
      </w:r>
      <w:r w:rsidRPr="00EF6C20">
        <w:rPr>
          <w:rFonts w:ascii="Arial" w:hAnsi="Arial" w:cs="Arial"/>
          <w:sz w:val="24"/>
          <w:szCs w:val="24"/>
        </w:rPr>
        <w:t xml:space="preserve"> (aktivní občanství; sociální inkluze; trh práce; formální a neformální participace; každému věku přátelský veřejný prostor), </w:t>
      </w:r>
    </w:p>
    <w:p w14:paraId="635E33E6" w14:textId="77777777" w:rsidR="00EF6C20" w:rsidRDefault="00EF6C20" w:rsidP="001D658C">
      <w:pPr>
        <w:pStyle w:val="Odstavecseseznamem"/>
        <w:numPr>
          <w:ilvl w:val="0"/>
          <w:numId w:val="29"/>
        </w:numPr>
        <w:spacing w:line="360" w:lineRule="auto"/>
        <w:jc w:val="both"/>
        <w:rPr>
          <w:rFonts w:ascii="Arial" w:hAnsi="Arial" w:cs="Arial"/>
          <w:sz w:val="24"/>
          <w:szCs w:val="24"/>
        </w:rPr>
      </w:pPr>
      <w:r w:rsidRPr="00EF6C20">
        <w:rPr>
          <w:rFonts w:ascii="Arial" w:hAnsi="Arial" w:cs="Arial"/>
          <w:sz w:val="24"/>
          <w:szCs w:val="24"/>
        </w:rPr>
        <w:t xml:space="preserve">druhý </w:t>
      </w:r>
      <w:r w:rsidRPr="00EF6C20">
        <w:rPr>
          <w:rFonts w:ascii="Arial" w:hAnsi="Arial" w:cs="Arial"/>
          <w:b/>
          <w:bCs/>
          <w:sz w:val="24"/>
          <w:szCs w:val="24"/>
        </w:rPr>
        <w:t xml:space="preserve">zdraví a péče </w:t>
      </w:r>
      <w:r w:rsidRPr="00EF6C20">
        <w:rPr>
          <w:rFonts w:ascii="Arial" w:hAnsi="Arial" w:cs="Arial"/>
          <w:sz w:val="24"/>
          <w:szCs w:val="24"/>
        </w:rPr>
        <w:t xml:space="preserve">(prevence; pracovní dlouhověkost/Age management); péče; pečující; dostupnější služby v široké nabídce typů), </w:t>
      </w:r>
    </w:p>
    <w:p w14:paraId="2FF9F2B2" w14:textId="77777777" w:rsidR="00EF6C20" w:rsidRDefault="00EF6C20" w:rsidP="001D658C">
      <w:pPr>
        <w:pStyle w:val="Odstavecseseznamem"/>
        <w:numPr>
          <w:ilvl w:val="0"/>
          <w:numId w:val="29"/>
        </w:numPr>
        <w:spacing w:line="360" w:lineRule="auto"/>
        <w:jc w:val="both"/>
        <w:rPr>
          <w:rFonts w:ascii="Arial" w:hAnsi="Arial" w:cs="Arial"/>
          <w:sz w:val="24"/>
          <w:szCs w:val="24"/>
        </w:rPr>
      </w:pPr>
      <w:r w:rsidRPr="00EF6C20">
        <w:rPr>
          <w:rFonts w:ascii="Arial" w:hAnsi="Arial" w:cs="Arial"/>
          <w:sz w:val="24"/>
          <w:szCs w:val="24"/>
        </w:rPr>
        <w:t xml:space="preserve">třetí </w:t>
      </w:r>
      <w:r w:rsidRPr="00EF6C20">
        <w:rPr>
          <w:rFonts w:ascii="Arial" w:hAnsi="Arial" w:cs="Arial"/>
          <w:b/>
          <w:bCs/>
          <w:sz w:val="24"/>
          <w:szCs w:val="24"/>
        </w:rPr>
        <w:t xml:space="preserve">bezpečí </w:t>
      </w:r>
      <w:r w:rsidRPr="00EF6C20">
        <w:rPr>
          <w:rFonts w:ascii="Arial" w:hAnsi="Arial" w:cs="Arial"/>
          <w:sz w:val="24"/>
          <w:szCs w:val="24"/>
        </w:rPr>
        <w:t xml:space="preserve">(ekonomická stabilita-důstojné důchody; bydlení; boj proti diskriminaci; prevence nekalých praktik; prevence </w:t>
      </w:r>
      <w:proofErr w:type="gramStart"/>
      <w:r w:rsidRPr="00EF6C20">
        <w:rPr>
          <w:rFonts w:ascii="Arial" w:hAnsi="Arial" w:cs="Arial"/>
          <w:sz w:val="24"/>
          <w:szCs w:val="24"/>
        </w:rPr>
        <w:t>týrání - EAN</w:t>
      </w:r>
      <w:proofErr w:type="gramEnd"/>
      <w:r w:rsidRPr="00EF6C20">
        <w:rPr>
          <w:rFonts w:ascii="Arial" w:hAnsi="Arial" w:cs="Arial"/>
          <w:sz w:val="24"/>
          <w:szCs w:val="24"/>
        </w:rPr>
        <w:t xml:space="preserve">), </w:t>
      </w:r>
    </w:p>
    <w:p w14:paraId="22E05EF9" w14:textId="77777777" w:rsidR="00EF6C20" w:rsidRDefault="00EF6C20" w:rsidP="001D658C">
      <w:pPr>
        <w:pStyle w:val="Odstavecseseznamem"/>
        <w:numPr>
          <w:ilvl w:val="0"/>
          <w:numId w:val="29"/>
        </w:numPr>
        <w:spacing w:line="360" w:lineRule="auto"/>
        <w:jc w:val="both"/>
        <w:rPr>
          <w:rFonts w:ascii="Arial" w:hAnsi="Arial" w:cs="Arial"/>
          <w:sz w:val="24"/>
          <w:szCs w:val="24"/>
        </w:rPr>
      </w:pPr>
      <w:r w:rsidRPr="00EF6C20">
        <w:rPr>
          <w:rFonts w:ascii="Arial" w:hAnsi="Arial" w:cs="Arial"/>
          <w:sz w:val="24"/>
          <w:szCs w:val="24"/>
        </w:rPr>
        <w:t xml:space="preserve">čtvrtý </w:t>
      </w:r>
      <w:proofErr w:type="spellStart"/>
      <w:r w:rsidRPr="00EF6C20">
        <w:rPr>
          <w:rFonts w:ascii="Arial" w:hAnsi="Arial" w:cs="Arial"/>
          <w:b/>
          <w:bCs/>
          <w:sz w:val="24"/>
          <w:szCs w:val="24"/>
        </w:rPr>
        <w:t>resilience</w:t>
      </w:r>
      <w:proofErr w:type="spellEnd"/>
      <w:r w:rsidRPr="00EF6C20">
        <w:rPr>
          <w:rFonts w:ascii="Arial" w:hAnsi="Arial" w:cs="Arial"/>
          <w:b/>
          <w:bCs/>
          <w:sz w:val="24"/>
          <w:szCs w:val="24"/>
        </w:rPr>
        <w:t>/ odolnost</w:t>
      </w:r>
      <w:r w:rsidRPr="00EF6C20">
        <w:rPr>
          <w:rFonts w:ascii="Arial" w:hAnsi="Arial" w:cs="Arial"/>
          <w:sz w:val="24"/>
          <w:szCs w:val="24"/>
        </w:rPr>
        <w:t xml:space="preserve"> (ekologická krize; energo krize; </w:t>
      </w:r>
      <w:proofErr w:type="gramStart"/>
      <w:r w:rsidRPr="00EF6C20">
        <w:rPr>
          <w:rFonts w:ascii="Arial" w:hAnsi="Arial" w:cs="Arial"/>
          <w:sz w:val="24"/>
          <w:szCs w:val="24"/>
        </w:rPr>
        <w:t>desinformace</w:t>
      </w:r>
      <w:proofErr w:type="gramEnd"/>
      <w:r w:rsidRPr="00EF6C20">
        <w:rPr>
          <w:rFonts w:ascii="Arial" w:hAnsi="Arial" w:cs="Arial"/>
          <w:sz w:val="24"/>
          <w:szCs w:val="24"/>
        </w:rPr>
        <w:t>; podpora učící se společnosti celoživotní vzdělání)</w:t>
      </w:r>
      <w:r>
        <w:rPr>
          <w:rFonts w:ascii="Arial" w:hAnsi="Arial" w:cs="Arial"/>
          <w:sz w:val="24"/>
          <w:szCs w:val="24"/>
        </w:rPr>
        <w:t xml:space="preserve">, </w:t>
      </w:r>
    </w:p>
    <w:p w14:paraId="14A834CD" w14:textId="0104312E" w:rsidR="00EF6C20" w:rsidRDefault="00EF6C20" w:rsidP="001D658C">
      <w:pPr>
        <w:pStyle w:val="Odstavecseseznamem"/>
        <w:numPr>
          <w:ilvl w:val="0"/>
          <w:numId w:val="29"/>
        </w:numPr>
        <w:spacing w:line="360" w:lineRule="auto"/>
        <w:jc w:val="both"/>
        <w:rPr>
          <w:rFonts w:ascii="Arial" w:hAnsi="Arial" w:cs="Arial"/>
          <w:sz w:val="24"/>
          <w:szCs w:val="24"/>
        </w:rPr>
      </w:pPr>
      <w:r w:rsidRPr="00EF6C20">
        <w:rPr>
          <w:rFonts w:ascii="Arial" w:hAnsi="Arial" w:cs="Arial"/>
          <w:sz w:val="24"/>
          <w:szCs w:val="24"/>
        </w:rPr>
        <w:t xml:space="preserve">pátý pilíř představuje </w:t>
      </w:r>
      <w:r w:rsidRPr="00EF6C20">
        <w:rPr>
          <w:rFonts w:ascii="Arial" w:hAnsi="Arial" w:cs="Arial"/>
          <w:b/>
          <w:bCs/>
          <w:sz w:val="24"/>
          <w:szCs w:val="24"/>
        </w:rPr>
        <w:t xml:space="preserve">rozvoj </w:t>
      </w:r>
      <w:r w:rsidRPr="00EF6C20">
        <w:rPr>
          <w:rFonts w:ascii="Arial" w:hAnsi="Arial" w:cs="Arial"/>
          <w:sz w:val="24"/>
          <w:szCs w:val="24"/>
        </w:rPr>
        <w:t xml:space="preserve">(digitalizace; design věcí a služeb </w:t>
      </w:r>
      <w:proofErr w:type="spellStart"/>
      <w:r w:rsidRPr="00EF6C20">
        <w:rPr>
          <w:rFonts w:ascii="Arial" w:hAnsi="Arial" w:cs="Arial"/>
          <w:sz w:val="24"/>
          <w:szCs w:val="24"/>
        </w:rPr>
        <w:t>age</w:t>
      </w:r>
      <w:proofErr w:type="spellEnd"/>
      <w:r w:rsidRPr="00EF6C20">
        <w:rPr>
          <w:rFonts w:ascii="Arial" w:hAnsi="Arial" w:cs="Arial"/>
          <w:sz w:val="24"/>
          <w:szCs w:val="24"/>
        </w:rPr>
        <w:t xml:space="preserve"> </w:t>
      </w:r>
      <w:proofErr w:type="spellStart"/>
      <w:r w:rsidRPr="00EF6C20">
        <w:rPr>
          <w:rFonts w:ascii="Arial" w:hAnsi="Arial" w:cs="Arial"/>
          <w:sz w:val="24"/>
          <w:szCs w:val="24"/>
        </w:rPr>
        <w:t>friendly</w:t>
      </w:r>
      <w:proofErr w:type="spellEnd"/>
      <w:r w:rsidRPr="00EF6C20">
        <w:rPr>
          <w:rFonts w:ascii="Arial" w:hAnsi="Arial" w:cs="Arial"/>
          <w:sz w:val="24"/>
          <w:szCs w:val="24"/>
        </w:rPr>
        <w:t xml:space="preserve"> způsobem (inovace); evidence </w:t>
      </w:r>
      <w:proofErr w:type="spellStart"/>
      <w:r w:rsidRPr="00EF6C20">
        <w:rPr>
          <w:rFonts w:ascii="Arial" w:hAnsi="Arial" w:cs="Arial"/>
          <w:sz w:val="24"/>
          <w:szCs w:val="24"/>
        </w:rPr>
        <w:t>based</w:t>
      </w:r>
      <w:proofErr w:type="spellEnd"/>
      <w:r w:rsidRPr="00EF6C20">
        <w:rPr>
          <w:rFonts w:ascii="Arial" w:hAnsi="Arial" w:cs="Arial"/>
          <w:sz w:val="24"/>
          <w:szCs w:val="24"/>
        </w:rPr>
        <w:t xml:space="preserve"> </w:t>
      </w:r>
      <w:proofErr w:type="spellStart"/>
      <w:r w:rsidRPr="00EF6C20">
        <w:rPr>
          <w:rFonts w:ascii="Arial" w:hAnsi="Arial" w:cs="Arial"/>
          <w:sz w:val="24"/>
          <w:szCs w:val="24"/>
        </w:rPr>
        <w:t>policy</w:t>
      </w:r>
      <w:proofErr w:type="spellEnd"/>
      <w:r w:rsidRPr="00EF6C20">
        <w:rPr>
          <w:rFonts w:ascii="Arial" w:hAnsi="Arial" w:cs="Arial"/>
          <w:sz w:val="24"/>
          <w:szCs w:val="24"/>
        </w:rPr>
        <w:t xml:space="preserve"> </w:t>
      </w:r>
      <w:proofErr w:type="spellStart"/>
      <w:r w:rsidRPr="00EF6C20">
        <w:rPr>
          <w:rFonts w:ascii="Arial" w:hAnsi="Arial" w:cs="Arial"/>
          <w:sz w:val="24"/>
          <w:szCs w:val="24"/>
        </w:rPr>
        <w:t>making</w:t>
      </w:r>
      <w:proofErr w:type="spellEnd"/>
      <w:r w:rsidRPr="00EF6C20">
        <w:rPr>
          <w:rFonts w:ascii="Arial" w:hAnsi="Arial" w:cs="Arial"/>
          <w:sz w:val="24"/>
          <w:szCs w:val="24"/>
        </w:rPr>
        <w:t xml:space="preserve">; podpora mezigeneračních vztahů a rodiny; rozpoznání ekonomických příležitostí tzv. stříbrné ekonomiky; příprava státu; Age management). </w:t>
      </w:r>
    </w:p>
    <w:p w14:paraId="23E29E2F" w14:textId="47DB2AD8" w:rsidR="008D6DD3" w:rsidRDefault="004B2AA9" w:rsidP="004B2AA9">
      <w:pPr>
        <w:spacing w:line="360" w:lineRule="auto"/>
        <w:jc w:val="both"/>
        <w:rPr>
          <w:rFonts w:ascii="Arial" w:hAnsi="Arial" w:cs="Arial"/>
          <w:sz w:val="24"/>
          <w:szCs w:val="24"/>
        </w:rPr>
      </w:pPr>
      <w:bookmarkStart w:id="4" w:name="_Toc132393584"/>
      <w:r w:rsidRPr="007964B5">
        <w:rPr>
          <w:rFonts w:ascii="Arial" w:hAnsi="Arial" w:cs="Arial"/>
          <w:sz w:val="24"/>
          <w:szCs w:val="24"/>
        </w:rPr>
        <w:t>Základní vize, ke které Akční plán směřuje, je zformulována do střednědobého globálního cíle, který by měl být</w:t>
      </w:r>
      <w:r>
        <w:rPr>
          <w:rFonts w:ascii="Arial" w:hAnsi="Arial" w:cs="Arial"/>
          <w:sz w:val="24"/>
          <w:szCs w:val="24"/>
        </w:rPr>
        <w:t xml:space="preserve"> </w:t>
      </w:r>
      <w:r w:rsidRPr="007964B5">
        <w:rPr>
          <w:rFonts w:ascii="Arial" w:hAnsi="Arial" w:cs="Arial"/>
          <w:sz w:val="24"/>
          <w:szCs w:val="24"/>
        </w:rPr>
        <w:t>do roku 2025 naplněn. Tento globální cíl je dekomponován do jednotlivých strategických cílů, jež reagují</w:t>
      </w:r>
      <w:r>
        <w:rPr>
          <w:rFonts w:ascii="Arial" w:hAnsi="Arial" w:cs="Arial"/>
          <w:sz w:val="24"/>
          <w:szCs w:val="24"/>
        </w:rPr>
        <w:t xml:space="preserve"> </w:t>
      </w:r>
      <w:r w:rsidRPr="007964B5">
        <w:rPr>
          <w:rFonts w:ascii="Arial" w:hAnsi="Arial" w:cs="Arial"/>
          <w:sz w:val="24"/>
          <w:szCs w:val="24"/>
        </w:rPr>
        <w:t>na definované problémy v jednotlivých tematických oblastech v záběru AP. Strategické cíle se pak roz</w:t>
      </w:r>
      <w:r>
        <w:rPr>
          <w:rFonts w:ascii="Arial" w:hAnsi="Arial" w:cs="Arial"/>
          <w:sz w:val="24"/>
          <w:szCs w:val="24"/>
        </w:rPr>
        <w:t xml:space="preserve">padají </w:t>
      </w:r>
      <w:r w:rsidRPr="007964B5">
        <w:rPr>
          <w:rFonts w:ascii="Arial" w:hAnsi="Arial" w:cs="Arial"/>
          <w:sz w:val="24"/>
          <w:szCs w:val="24"/>
        </w:rPr>
        <w:t xml:space="preserve">na několik specifických cílů, které jsou naplňovány prostřednictvím konkrétních opatření. Opatření jsou nejnižší hierarchickou úrovní cílů a vyjadřují jednotnou ucelenou aktivitu, jejíž realizace přispívá k naplnění příslušného specifického cíle. Na úrovni opatření jsou stanovené indikátory, jejichž naplnění u všech příslušných opatření povede ke splnění daného specifického cíle. </w:t>
      </w:r>
    </w:p>
    <w:p w14:paraId="322D5092" w14:textId="5D464CCF" w:rsidR="004B2AA9" w:rsidRDefault="004B2AA9" w:rsidP="004B2AA9">
      <w:pPr>
        <w:spacing w:line="360" w:lineRule="auto"/>
        <w:jc w:val="both"/>
        <w:rPr>
          <w:rFonts w:ascii="Arial" w:hAnsi="Arial" w:cs="Arial"/>
          <w:sz w:val="24"/>
          <w:szCs w:val="24"/>
        </w:rPr>
      </w:pPr>
    </w:p>
    <w:p w14:paraId="7B18182A" w14:textId="17A86C40" w:rsidR="00DD6884" w:rsidRPr="008D6DD3" w:rsidRDefault="004B2AA9" w:rsidP="008D6DD3">
      <w:pPr>
        <w:pStyle w:val="Citt"/>
        <w:pBdr>
          <w:top w:val="single" w:sz="18" w:space="9" w:color="44546A" w:themeColor="text2"/>
          <w:bottom w:val="single" w:sz="18" w:space="6" w:color="44546A" w:themeColor="text2"/>
        </w:pBdr>
        <w:spacing w:before="0" w:after="0"/>
        <w:rPr>
          <w:rFonts w:ascii="Arial" w:hAnsi="Arial" w:cs="Arial"/>
          <w:bCs/>
          <w:color w:val="2E74B5" w:themeColor="accent1" w:themeShade="BF"/>
        </w:rPr>
      </w:pPr>
      <w:r w:rsidRPr="00EB0DA8">
        <w:rPr>
          <w:rFonts w:ascii="Arial" w:hAnsi="Arial" w:cs="Arial"/>
          <w:bCs/>
          <w:color w:val="2E74B5" w:themeColor="accent1" w:themeShade="BF"/>
        </w:rPr>
        <w:t xml:space="preserve">Politika stárnutí podle takto formulované vize je zaměřena směrem k ocenění hodnoty starších osob pro společnost a k vytvoření podmínek pro využití jejich potenciálu – přínosu. Dále podporuje mezigenerační soudržnost mezi členy rodin a klade důraz na aktivní přístup k životu, zapojení se do společnosti ve smyslu zůstat co nejdéle žít zdravý, soběstačný a nezávislý život. </w:t>
      </w:r>
    </w:p>
    <w:p w14:paraId="237013DD" w14:textId="77777777" w:rsidR="00DD6884" w:rsidRDefault="00DD6884" w:rsidP="004B2AA9">
      <w:pPr>
        <w:spacing w:line="360" w:lineRule="auto"/>
        <w:jc w:val="both"/>
        <w:rPr>
          <w:rFonts w:ascii="Arial" w:hAnsi="Arial" w:cs="Arial"/>
          <w:sz w:val="24"/>
          <w:szCs w:val="24"/>
        </w:rPr>
      </w:pPr>
    </w:p>
    <w:p w14:paraId="26274ABD" w14:textId="3CC84147" w:rsidR="004B2AA9" w:rsidRDefault="004B2AA9" w:rsidP="004B2AA9">
      <w:pPr>
        <w:spacing w:line="360" w:lineRule="auto"/>
        <w:jc w:val="both"/>
        <w:rPr>
          <w:rFonts w:ascii="Arial" w:hAnsi="Arial" w:cs="Arial"/>
          <w:sz w:val="24"/>
          <w:szCs w:val="24"/>
        </w:rPr>
      </w:pPr>
      <w:r w:rsidRPr="00BF4D49">
        <w:rPr>
          <w:rFonts w:ascii="Arial" w:hAnsi="Arial" w:cs="Arial"/>
          <w:b/>
          <w:bCs/>
          <w:sz w:val="24"/>
          <w:szCs w:val="24"/>
        </w:rPr>
        <w:t>Vize politiky přípravy na stárnutí se konkrétně</w:t>
      </w:r>
      <w:r w:rsidR="00DD6884">
        <w:rPr>
          <w:rFonts w:ascii="Arial" w:hAnsi="Arial" w:cs="Arial"/>
          <w:b/>
          <w:bCs/>
          <w:sz w:val="24"/>
          <w:szCs w:val="24"/>
        </w:rPr>
        <w:t>ji</w:t>
      </w:r>
      <w:r w:rsidRPr="00BF4D49">
        <w:rPr>
          <w:rFonts w:ascii="Arial" w:hAnsi="Arial" w:cs="Arial"/>
          <w:b/>
          <w:bCs/>
          <w:sz w:val="24"/>
          <w:szCs w:val="24"/>
        </w:rPr>
        <w:t xml:space="preserve"> opírá o hodnotov</w:t>
      </w:r>
      <w:r w:rsidR="00DD6884">
        <w:rPr>
          <w:rFonts w:ascii="Arial" w:hAnsi="Arial" w:cs="Arial"/>
          <w:b/>
          <w:bCs/>
          <w:sz w:val="24"/>
          <w:szCs w:val="24"/>
        </w:rPr>
        <w:t>é</w:t>
      </w:r>
      <w:r w:rsidRPr="00BF4D49">
        <w:rPr>
          <w:rFonts w:ascii="Arial" w:hAnsi="Arial" w:cs="Arial"/>
          <w:b/>
          <w:bCs/>
          <w:sz w:val="24"/>
          <w:szCs w:val="24"/>
        </w:rPr>
        <w:t xml:space="preserve"> </w:t>
      </w:r>
      <w:r w:rsidR="00BF4D49">
        <w:rPr>
          <w:rFonts w:ascii="Arial" w:hAnsi="Arial" w:cs="Arial"/>
          <w:b/>
          <w:bCs/>
          <w:sz w:val="24"/>
          <w:szCs w:val="24"/>
        </w:rPr>
        <w:t>rám</w:t>
      </w:r>
      <w:r w:rsidR="009C69D8">
        <w:rPr>
          <w:rFonts w:ascii="Arial" w:hAnsi="Arial" w:cs="Arial"/>
          <w:b/>
          <w:bCs/>
          <w:sz w:val="24"/>
          <w:szCs w:val="24"/>
        </w:rPr>
        <w:t>ce</w:t>
      </w:r>
      <w:r w:rsidR="00BF4D49">
        <w:rPr>
          <w:rFonts w:ascii="Arial" w:hAnsi="Arial" w:cs="Arial"/>
          <w:b/>
          <w:bCs/>
          <w:sz w:val="24"/>
          <w:szCs w:val="24"/>
        </w:rPr>
        <w:t>:</w:t>
      </w:r>
    </w:p>
    <w:p w14:paraId="4C6B0BBA" w14:textId="77777777" w:rsidR="004B2AA9" w:rsidRPr="00793342" w:rsidRDefault="004B2AA9" w:rsidP="004B2AA9">
      <w:pPr>
        <w:pStyle w:val="Odstavecseseznamem"/>
        <w:numPr>
          <w:ilvl w:val="0"/>
          <w:numId w:val="8"/>
        </w:numPr>
        <w:spacing w:line="360" w:lineRule="auto"/>
        <w:jc w:val="both"/>
        <w:rPr>
          <w:rFonts w:ascii="Arial" w:hAnsi="Arial" w:cs="Arial"/>
          <w:sz w:val="24"/>
          <w:szCs w:val="24"/>
        </w:rPr>
      </w:pPr>
      <w:r w:rsidRPr="00793342">
        <w:rPr>
          <w:rFonts w:ascii="Arial" w:hAnsi="Arial" w:cs="Arial"/>
          <w:sz w:val="24"/>
          <w:szCs w:val="24"/>
        </w:rPr>
        <w:t xml:space="preserve">Aktivita a plná závislost (nesoběstačnost) nejsou opozita/protiklady či vylučující se kategorie, ale existují jako kontinuum. </w:t>
      </w:r>
      <w:r w:rsidRPr="00C87C04">
        <w:rPr>
          <w:rFonts w:ascii="Arial" w:hAnsi="Arial" w:cs="Arial"/>
          <w:sz w:val="24"/>
          <w:szCs w:val="24"/>
        </w:rPr>
        <w:t>Každý člověk se během svého života může dostat do závislé či pečující role (na kratší či delší časový úsek). I člověk s potřebou péče je více než jen křehký člověk,</w:t>
      </w:r>
      <w:r w:rsidRPr="00793342">
        <w:rPr>
          <w:rFonts w:ascii="Arial" w:hAnsi="Arial" w:cs="Arial"/>
          <w:sz w:val="24"/>
          <w:szCs w:val="24"/>
        </w:rPr>
        <w:t xml:space="preserve"> je aktérem s řadou rolí a kompetencí. Také však posílení preventivní zdravotní péče, zdravého životního stylu, ale rovněž specializované geriatrické péče a podpora integrace sociálních a zdravotních služeb dlouhodobé péče.</w:t>
      </w:r>
      <w:r>
        <w:rPr>
          <w:rFonts w:ascii="Arial" w:hAnsi="Arial" w:cs="Arial"/>
          <w:sz w:val="24"/>
          <w:szCs w:val="24"/>
        </w:rPr>
        <w:t xml:space="preserve"> </w:t>
      </w:r>
    </w:p>
    <w:p w14:paraId="41ADBAF5" w14:textId="77777777" w:rsidR="004B2AA9" w:rsidRPr="00793342" w:rsidRDefault="004B2AA9" w:rsidP="004B2AA9">
      <w:pPr>
        <w:pStyle w:val="Odstavecseseznamem"/>
        <w:numPr>
          <w:ilvl w:val="0"/>
          <w:numId w:val="8"/>
        </w:numPr>
        <w:spacing w:line="360" w:lineRule="auto"/>
        <w:jc w:val="both"/>
        <w:rPr>
          <w:rFonts w:ascii="Arial" w:hAnsi="Arial" w:cs="Arial"/>
          <w:sz w:val="24"/>
          <w:szCs w:val="24"/>
        </w:rPr>
      </w:pPr>
      <w:r w:rsidRPr="00793342">
        <w:rPr>
          <w:rFonts w:ascii="Arial" w:hAnsi="Arial" w:cs="Arial"/>
          <w:sz w:val="24"/>
          <w:szCs w:val="24"/>
        </w:rPr>
        <w:t xml:space="preserve">Politiku přípravy na stárnutí není možné realizovat bez </w:t>
      </w:r>
      <w:r w:rsidRPr="00C87C04">
        <w:rPr>
          <w:rFonts w:ascii="Arial" w:hAnsi="Arial" w:cs="Arial"/>
          <w:sz w:val="24"/>
          <w:szCs w:val="24"/>
        </w:rPr>
        <w:t>spolupráce mezi širokým spektrem různých aktérů,</w:t>
      </w:r>
      <w:r w:rsidRPr="00793342">
        <w:rPr>
          <w:rFonts w:ascii="Arial" w:hAnsi="Arial" w:cs="Arial"/>
          <w:sz w:val="24"/>
          <w:szCs w:val="24"/>
        </w:rPr>
        <w:t xml:space="preserve"> bez spolupráce mezi resorty, odbory, mezi státní správou a lokální samosprávou, veřejností, komunitou, zaměstnavateli, neziskovými organizacemi, pečujícími, rodinou i jednotlivci, doma i ve veřejném prostoru. Akční plán ve svých opatřeních staví podmínky pro tuto spolupráci, její rozvoj a ochranu. Podpora prevence sociální izolace, zdravého a aktivního stárnutí, vč. seberealizace při rozvoji životního potenciálu, účasti na tvorbě politik a aktivačních opatření, kombinování minimálního příjmu a aktivačních opatření. </w:t>
      </w:r>
    </w:p>
    <w:p w14:paraId="40EA216B" w14:textId="77777777" w:rsidR="004B2AA9" w:rsidRPr="00793342" w:rsidRDefault="004B2AA9" w:rsidP="004B2AA9">
      <w:pPr>
        <w:pStyle w:val="Odstavecseseznamem"/>
        <w:numPr>
          <w:ilvl w:val="0"/>
          <w:numId w:val="8"/>
        </w:numPr>
        <w:spacing w:line="360" w:lineRule="auto"/>
        <w:jc w:val="both"/>
        <w:rPr>
          <w:rFonts w:ascii="Arial" w:hAnsi="Arial" w:cs="Arial"/>
          <w:sz w:val="24"/>
          <w:szCs w:val="24"/>
        </w:rPr>
      </w:pPr>
      <w:r w:rsidRPr="00C87C04">
        <w:rPr>
          <w:rFonts w:ascii="Arial" w:hAnsi="Arial" w:cs="Arial"/>
          <w:sz w:val="24"/>
          <w:szCs w:val="24"/>
        </w:rPr>
        <w:t>Cílem politiky přípravy na stárnutí je dosahování společenské soudržnosti, prevence rozdmýchávání mezigenerační nevraživosti, podpora participace a rozvoj důvěry ve společnosti jako základních stavebních kamenů demokracie.  Posílení pocitu be</w:t>
      </w:r>
      <w:r w:rsidRPr="00793342">
        <w:rPr>
          <w:rFonts w:ascii="Arial" w:hAnsi="Arial" w:cs="Arial"/>
          <w:sz w:val="24"/>
          <w:szCs w:val="24"/>
        </w:rPr>
        <w:t>zpečí a prevence špatného zacházení a zneužívání, boj proti dezinformacím a jiným sociálně patologickým jevům podrývajícím kvalitu života ve vyšší věku, boj proti diskriminaci a ageismu, ale též poskytnout bezpečný domov a životní prostředí a bezpečné veřejné prostředky.</w:t>
      </w:r>
    </w:p>
    <w:p w14:paraId="7110EC98" w14:textId="77777777" w:rsidR="004B2AA9" w:rsidRPr="00793342" w:rsidRDefault="004B2AA9" w:rsidP="004B2AA9">
      <w:pPr>
        <w:pStyle w:val="Odstavecseseznamem"/>
        <w:numPr>
          <w:ilvl w:val="0"/>
          <w:numId w:val="8"/>
        </w:numPr>
        <w:spacing w:line="360" w:lineRule="auto"/>
        <w:jc w:val="both"/>
        <w:rPr>
          <w:rFonts w:ascii="Arial" w:hAnsi="Arial" w:cs="Arial"/>
          <w:sz w:val="24"/>
          <w:szCs w:val="24"/>
        </w:rPr>
      </w:pPr>
      <w:r w:rsidRPr="00C87C04">
        <w:rPr>
          <w:rFonts w:ascii="Arial" w:hAnsi="Arial" w:cs="Arial"/>
          <w:sz w:val="24"/>
          <w:szCs w:val="24"/>
        </w:rPr>
        <w:lastRenderedPageBreak/>
        <w:t>Stát hraje nezastupitelnou úlohu v podpoře společnosti jako celku, komunit i občanů v posilování odolnosti (</w:t>
      </w:r>
      <w:proofErr w:type="spellStart"/>
      <w:r w:rsidRPr="00C87C04">
        <w:rPr>
          <w:rFonts w:ascii="Arial" w:hAnsi="Arial" w:cs="Arial"/>
          <w:sz w:val="24"/>
          <w:szCs w:val="24"/>
        </w:rPr>
        <w:t>resilience</w:t>
      </w:r>
      <w:proofErr w:type="spellEnd"/>
      <w:r w:rsidRPr="00C87C04">
        <w:rPr>
          <w:rFonts w:ascii="Arial" w:hAnsi="Arial" w:cs="Arial"/>
          <w:sz w:val="24"/>
          <w:szCs w:val="24"/>
        </w:rPr>
        <w:t>) vůči známým i předjímaným lokálním i globálním rizikům. Dostupnost a široká rozmanitost služeb (a dalších opatření) jsou garantovány jako výraz respektu k důstojnosti a jedinečnosti každého staršího člověka. Na druhé straně však také např. podpora možnosti</w:t>
      </w:r>
      <w:r w:rsidRPr="00793342">
        <w:rPr>
          <w:rFonts w:ascii="Arial" w:hAnsi="Arial" w:cs="Arial"/>
          <w:sz w:val="24"/>
          <w:szCs w:val="24"/>
        </w:rPr>
        <w:t xml:space="preserve"> dřívějšího odchodu do důchodu zaměstnancům v náročných profesích a lepšího plánování odchodu do důchodu.</w:t>
      </w:r>
    </w:p>
    <w:p w14:paraId="18DF602B" w14:textId="28AFF1FF" w:rsidR="004B2AA9" w:rsidRPr="008D6DD3" w:rsidRDefault="004B2AA9" w:rsidP="004B2AA9">
      <w:pPr>
        <w:pStyle w:val="Odstavecseseznamem"/>
        <w:numPr>
          <w:ilvl w:val="0"/>
          <w:numId w:val="8"/>
        </w:numPr>
        <w:spacing w:line="360" w:lineRule="auto"/>
        <w:jc w:val="both"/>
        <w:rPr>
          <w:rFonts w:ascii="Arial" w:hAnsi="Arial" w:cs="Arial"/>
          <w:sz w:val="24"/>
          <w:szCs w:val="24"/>
        </w:rPr>
      </w:pPr>
      <w:r w:rsidRPr="00C87C04">
        <w:rPr>
          <w:rFonts w:ascii="Arial" w:hAnsi="Arial" w:cs="Arial"/>
          <w:sz w:val="24"/>
          <w:szCs w:val="24"/>
        </w:rPr>
        <w:t>Stárnutí je nejen demografickou výzvou, ale především příležitostí pro inovace a společenský rozvoj</w:t>
      </w:r>
      <w:r w:rsidRPr="00793342">
        <w:rPr>
          <w:rFonts w:ascii="Arial" w:hAnsi="Arial" w:cs="Arial"/>
          <w:sz w:val="24"/>
          <w:szCs w:val="24"/>
          <w:u w:val="single"/>
        </w:rPr>
        <w:t xml:space="preserve"> </w:t>
      </w:r>
      <w:r w:rsidRPr="00793342">
        <w:rPr>
          <w:rFonts w:ascii="Arial" w:hAnsi="Arial" w:cs="Arial"/>
          <w:sz w:val="24"/>
          <w:szCs w:val="24"/>
        </w:rPr>
        <w:t>(v oblasti služeb, zaměstnanosti, péče, vzdělávání, designu, technologických řešení, bydlení atd.). Ale také podpora nezávislosti při určování tempa odchodu z pracovního procesu a přehodnocení tradiční hranice ekonomicky aktivního života, nastavení firemních prostředí vhodných pro starší osoby.</w:t>
      </w:r>
      <w:r>
        <w:rPr>
          <w:rFonts w:ascii="Arial" w:hAnsi="Arial" w:cs="Arial"/>
          <w:sz w:val="24"/>
          <w:szCs w:val="24"/>
        </w:rPr>
        <w:t xml:space="preserve"> </w:t>
      </w:r>
      <w:bookmarkEnd w:id="4"/>
    </w:p>
    <w:p w14:paraId="076A02A0" w14:textId="77777777" w:rsidR="008D6DD3" w:rsidRDefault="008D6DD3" w:rsidP="008D6DD3">
      <w:pPr>
        <w:spacing w:after="120" w:line="360" w:lineRule="auto"/>
        <w:jc w:val="both"/>
        <w:rPr>
          <w:rFonts w:ascii="Arial" w:hAnsi="Arial" w:cs="Arial"/>
          <w:color w:val="000000" w:themeColor="text1"/>
          <w:sz w:val="24"/>
        </w:rPr>
      </w:pPr>
      <w:r w:rsidRPr="006951A4">
        <w:rPr>
          <w:rFonts w:ascii="Arial" w:hAnsi="Arial" w:cs="Arial"/>
          <w:sz w:val="24"/>
        </w:rPr>
        <w:t xml:space="preserve">Stárnutí společnosti je </w:t>
      </w:r>
      <w:r>
        <w:rPr>
          <w:rFonts w:ascii="Arial" w:hAnsi="Arial" w:cs="Arial"/>
          <w:sz w:val="24"/>
        </w:rPr>
        <w:t xml:space="preserve">celospolečenský </w:t>
      </w:r>
      <w:r w:rsidRPr="006951A4">
        <w:rPr>
          <w:rFonts w:ascii="Arial" w:hAnsi="Arial" w:cs="Arial"/>
          <w:sz w:val="24"/>
        </w:rPr>
        <w:t xml:space="preserve">fenomén, který vyžaduje změnu v chápání toho, </w:t>
      </w:r>
      <w:r w:rsidRPr="006951A4">
        <w:rPr>
          <w:rFonts w:ascii="Arial" w:hAnsi="Arial" w:cs="Arial"/>
          <w:b/>
          <w:sz w:val="24"/>
        </w:rPr>
        <w:t>kdo je to senior</w:t>
      </w:r>
      <w:r w:rsidRPr="006951A4">
        <w:rPr>
          <w:rFonts w:ascii="Arial" w:hAnsi="Arial" w:cs="Arial"/>
          <w:sz w:val="24"/>
        </w:rPr>
        <w:t xml:space="preserve">. </w:t>
      </w:r>
    </w:p>
    <w:p w14:paraId="08F376BD" w14:textId="77777777" w:rsidR="008D6DD3" w:rsidRPr="00F002C1" w:rsidRDefault="008D6DD3" w:rsidP="008D6DD3">
      <w:pPr>
        <w:pStyle w:val="Citt"/>
        <w:pBdr>
          <w:top w:val="single" w:sz="18" w:space="9" w:color="44546A" w:themeColor="text2"/>
          <w:bottom w:val="single" w:sz="18" w:space="6" w:color="44546A" w:themeColor="text2"/>
        </w:pBdr>
        <w:spacing w:before="0" w:after="0"/>
        <w:rPr>
          <w:rFonts w:ascii="Arial" w:hAnsi="Arial" w:cs="Arial"/>
          <w:bCs/>
          <w:color w:val="2E74B5" w:themeColor="accent1" w:themeShade="BF"/>
        </w:rPr>
      </w:pPr>
      <w:r w:rsidRPr="00F002C1">
        <w:rPr>
          <w:rFonts w:ascii="Arial" w:hAnsi="Arial" w:cs="Arial"/>
          <w:bCs/>
          <w:color w:val="2E74B5" w:themeColor="accent1" w:themeShade="BF"/>
        </w:rPr>
        <w:t xml:space="preserve">Představy, které máme o stárnutí a lidech od určitého věku, jsou často zastaralé a nerespektují fakt, že dnešní senioři představují velmi heterogenní skupinu čítající více než dva miliony osob, a její různorodost do budoucna ještě posílí. </w:t>
      </w:r>
    </w:p>
    <w:p w14:paraId="7F1EF67D" w14:textId="77777777" w:rsidR="008D6DD3" w:rsidRDefault="008D6DD3" w:rsidP="008D6DD3">
      <w:pPr>
        <w:spacing w:after="120" w:line="360" w:lineRule="auto"/>
        <w:jc w:val="both"/>
        <w:rPr>
          <w:rFonts w:ascii="Arial" w:hAnsi="Arial" w:cs="Arial"/>
          <w:color w:val="000000" w:themeColor="text1"/>
          <w:sz w:val="24"/>
        </w:rPr>
      </w:pPr>
    </w:p>
    <w:p w14:paraId="61E324B3" w14:textId="77777777" w:rsidR="008D6DD3" w:rsidRPr="00F002C1" w:rsidRDefault="008D6DD3" w:rsidP="008D6DD3">
      <w:pPr>
        <w:spacing w:after="120" w:line="360" w:lineRule="auto"/>
        <w:jc w:val="both"/>
        <w:rPr>
          <w:rFonts w:ascii="Arial" w:hAnsi="Arial" w:cs="Arial"/>
          <w:sz w:val="24"/>
        </w:rPr>
      </w:pPr>
      <w:r>
        <w:rPr>
          <w:rFonts w:ascii="Arial" w:hAnsi="Arial" w:cs="Arial"/>
          <w:color w:val="000000" w:themeColor="text1"/>
          <w:sz w:val="24"/>
        </w:rPr>
        <w:t>Nestejnorodost této skupiny</w:t>
      </w:r>
      <w:r w:rsidRPr="006951A4">
        <w:rPr>
          <w:rFonts w:ascii="Arial" w:hAnsi="Arial" w:cs="Arial"/>
          <w:color w:val="000000" w:themeColor="text1"/>
          <w:sz w:val="24"/>
        </w:rPr>
        <w:t xml:space="preserve"> je dána nejen věkem, zdravotním stavem a stále narůstající délkou dožití, ale také příjmy, vzděláním, místem bydliště (venkov vs. město), sociálními vazbami, vlastní aktivitou a životní zkušeností.</w:t>
      </w:r>
      <w:r w:rsidRPr="006951A4">
        <w:rPr>
          <w:rFonts w:ascii="Arial" w:hAnsi="Arial" w:cs="Arial"/>
          <w:sz w:val="24"/>
        </w:rPr>
        <w:t xml:space="preserve"> </w:t>
      </w:r>
    </w:p>
    <w:p w14:paraId="6203DAA4" w14:textId="77777777" w:rsidR="008D6DD3" w:rsidRDefault="008D6DD3" w:rsidP="008D6DD3">
      <w:pPr>
        <w:pStyle w:val="MarginNote"/>
        <w:framePr w:wrap="around" w:y="1"/>
      </w:pPr>
      <w:r>
        <w:t>Proměny společnosti</w:t>
      </w:r>
    </w:p>
    <w:p w14:paraId="48E7A9D5" w14:textId="77777777" w:rsidR="008D6DD3" w:rsidRDefault="008D6DD3" w:rsidP="008D6DD3">
      <w:pPr>
        <w:spacing w:after="120" w:line="360" w:lineRule="auto"/>
        <w:jc w:val="both"/>
        <w:rPr>
          <w:rFonts w:ascii="Arial" w:hAnsi="Arial" w:cs="Arial"/>
          <w:sz w:val="24"/>
        </w:rPr>
      </w:pPr>
      <w:r w:rsidRPr="006951A4">
        <w:rPr>
          <w:rFonts w:ascii="Arial" w:hAnsi="Arial" w:cs="Arial"/>
          <w:b/>
          <w:sz w:val="24"/>
        </w:rPr>
        <w:t>Proměna věkové struktury společnosti má důsledky pro její uspořádání a život v ní.</w:t>
      </w:r>
      <w:r w:rsidRPr="006951A4">
        <w:rPr>
          <w:rFonts w:ascii="Arial" w:hAnsi="Arial" w:cs="Arial"/>
          <w:sz w:val="24"/>
        </w:rPr>
        <w:t xml:space="preserve"> Proměna životního cyklu vede k posouvání některých fází</w:t>
      </w:r>
      <w:r>
        <w:rPr>
          <w:rFonts w:ascii="Arial" w:hAnsi="Arial" w:cs="Arial"/>
          <w:sz w:val="24"/>
        </w:rPr>
        <w:t xml:space="preserve">, </w:t>
      </w:r>
      <w:r w:rsidRPr="006951A4">
        <w:rPr>
          <w:rFonts w:ascii="Arial" w:hAnsi="Arial" w:cs="Arial"/>
          <w:sz w:val="24"/>
        </w:rPr>
        <w:t>například oddalování vstupu na</w:t>
      </w:r>
      <w:r>
        <w:rPr>
          <w:rFonts w:ascii="Arial" w:hAnsi="Arial" w:cs="Arial"/>
          <w:sz w:val="24"/>
        </w:rPr>
        <w:t> </w:t>
      </w:r>
      <w:r w:rsidRPr="006951A4">
        <w:rPr>
          <w:rFonts w:ascii="Arial" w:hAnsi="Arial" w:cs="Arial"/>
          <w:sz w:val="24"/>
        </w:rPr>
        <w:t>trh práce nebo pozdější zakládání rodiny</w:t>
      </w:r>
      <w:r>
        <w:rPr>
          <w:rFonts w:ascii="Arial" w:hAnsi="Arial" w:cs="Arial"/>
          <w:sz w:val="24"/>
        </w:rPr>
        <w:t>.</w:t>
      </w:r>
      <w:r w:rsidRPr="006951A4">
        <w:rPr>
          <w:rFonts w:ascii="Arial" w:hAnsi="Arial" w:cs="Arial"/>
          <w:sz w:val="24"/>
        </w:rPr>
        <w:t xml:space="preserve"> </w:t>
      </w:r>
      <w:r>
        <w:rPr>
          <w:rFonts w:ascii="Arial" w:hAnsi="Arial" w:cs="Arial"/>
          <w:sz w:val="24"/>
        </w:rPr>
        <w:t>V</w:t>
      </w:r>
      <w:r w:rsidRPr="006951A4">
        <w:rPr>
          <w:rFonts w:ascii="Arial" w:hAnsi="Arial" w:cs="Arial"/>
          <w:sz w:val="24"/>
        </w:rPr>
        <w:t xml:space="preserve">zhledem k rapidní proměně světa kolem nás se některé životní fáze naopak opakují (např. učení, závislost na péči druhých). </w:t>
      </w:r>
      <w:r w:rsidRPr="002D3BCE">
        <w:rPr>
          <w:rFonts w:ascii="Arial" w:hAnsi="Arial" w:cs="Arial"/>
          <w:b/>
          <w:bCs/>
          <w:sz w:val="24"/>
        </w:rPr>
        <w:t>Stárnutí populace může také přinést prohloubení stávajících nerovností</w:t>
      </w:r>
      <w:r w:rsidRPr="006951A4">
        <w:rPr>
          <w:rFonts w:ascii="Arial" w:hAnsi="Arial" w:cs="Arial"/>
          <w:sz w:val="24"/>
        </w:rPr>
        <w:t>, například v podobě odlišné délky dožití nebo kvalitě stáří. Ta se odvíjí od zdravotního stavu i finančního zajištění v produktivním věku, stejně jako kvalitě předchozího života jako celku. Při výhledu do budoucna není možné zapomenout ani na</w:t>
      </w:r>
      <w:r>
        <w:rPr>
          <w:rFonts w:ascii="Arial" w:hAnsi="Arial" w:cs="Arial"/>
          <w:sz w:val="24"/>
        </w:rPr>
        <w:t> </w:t>
      </w:r>
      <w:r w:rsidRPr="006951A4">
        <w:rPr>
          <w:rFonts w:ascii="Arial" w:hAnsi="Arial" w:cs="Arial"/>
          <w:sz w:val="24"/>
        </w:rPr>
        <w:t>další faktory, které budou společnost ve 21. st</w:t>
      </w:r>
      <w:r>
        <w:rPr>
          <w:rFonts w:ascii="Arial" w:hAnsi="Arial" w:cs="Arial"/>
          <w:sz w:val="24"/>
        </w:rPr>
        <w:t xml:space="preserve">oletí ovlivňovat – například </w:t>
      </w:r>
      <w:r w:rsidRPr="006951A4">
        <w:rPr>
          <w:rFonts w:ascii="Arial" w:hAnsi="Arial" w:cs="Arial"/>
          <w:sz w:val="24"/>
        </w:rPr>
        <w:t>migrac</w:t>
      </w:r>
      <w:r>
        <w:rPr>
          <w:rFonts w:ascii="Arial" w:hAnsi="Arial" w:cs="Arial"/>
          <w:sz w:val="24"/>
        </w:rPr>
        <w:t>e</w:t>
      </w:r>
      <w:r w:rsidRPr="006951A4">
        <w:rPr>
          <w:rFonts w:ascii="Arial" w:hAnsi="Arial" w:cs="Arial"/>
          <w:sz w:val="24"/>
        </w:rPr>
        <w:t xml:space="preserve"> či</w:t>
      </w:r>
      <w:r>
        <w:rPr>
          <w:rFonts w:ascii="Arial" w:hAnsi="Arial" w:cs="Arial"/>
          <w:sz w:val="24"/>
        </w:rPr>
        <w:t> </w:t>
      </w:r>
      <w:r w:rsidRPr="006951A4">
        <w:rPr>
          <w:rFonts w:ascii="Arial" w:hAnsi="Arial" w:cs="Arial"/>
          <w:sz w:val="24"/>
        </w:rPr>
        <w:t>technologický vývoj</w:t>
      </w:r>
      <w:r>
        <w:rPr>
          <w:rFonts w:ascii="Arial" w:hAnsi="Arial" w:cs="Arial"/>
          <w:sz w:val="24"/>
        </w:rPr>
        <w:t>, klimatická změna</w:t>
      </w:r>
      <w:r w:rsidRPr="006951A4">
        <w:rPr>
          <w:rFonts w:ascii="Arial" w:hAnsi="Arial" w:cs="Arial"/>
          <w:sz w:val="24"/>
        </w:rPr>
        <w:t xml:space="preserve"> a digitalizac</w:t>
      </w:r>
      <w:r>
        <w:rPr>
          <w:rFonts w:ascii="Arial" w:hAnsi="Arial" w:cs="Arial"/>
          <w:sz w:val="24"/>
        </w:rPr>
        <w:t>e</w:t>
      </w:r>
      <w:r w:rsidRPr="006951A4">
        <w:rPr>
          <w:rFonts w:ascii="Arial" w:hAnsi="Arial" w:cs="Arial"/>
          <w:sz w:val="24"/>
        </w:rPr>
        <w:t>.</w:t>
      </w:r>
      <w:r w:rsidRPr="006951A4">
        <w:rPr>
          <w:rStyle w:val="Odkaznavysvtlivky"/>
          <w:rFonts w:ascii="Arial" w:hAnsi="Arial" w:cs="Arial"/>
          <w:sz w:val="24"/>
        </w:rPr>
        <w:endnoteReference w:id="2"/>
      </w:r>
      <w:r>
        <w:rPr>
          <w:rFonts w:ascii="Arial" w:hAnsi="Arial" w:cs="Arial"/>
          <w:sz w:val="24"/>
        </w:rPr>
        <w:t xml:space="preserve"> </w:t>
      </w:r>
    </w:p>
    <w:p w14:paraId="7A6B2B90" w14:textId="77777777" w:rsidR="008D6DD3" w:rsidRDefault="008D6DD3" w:rsidP="008D6DD3">
      <w:pPr>
        <w:pStyle w:val="MarginNote"/>
        <w:framePr w:wrap="around" w:y="1"/>
      </w:pPr>
      <w:r>
        <w:lastRenderedPageBreak/>
        <w:t>Zlepšování zdravotního stavu</w:t>
      </w:r>
    </w:p>
    <w:p w14:paraId="7C7335AF" w14:textId="77777777" w:rsidR="008D6DD3" w:rsidRPr="003509CA" w:rsidRDefault="008D6DD3" w:rsidP="008D6DD3">
      <w:pPr>
        <w:spacing w:after="120" w:line="360" w:lineRule="auto"/>
        <w:jc w:val="both"/>
        <w:rPr>
          <w:rFonts w:ascii="Arial" w:hAnsi="Arial" w:cs="Arial"/>
          <w:sz w:val="24"/>
          <w:szCs w:val="24"/>
        </w:rPr>
      </w:pPr>
      <w:r>
        <w:rPr>
          <w:rFonts w:ascii="Arial" w:hAnsi="Arial" w:cs="Arial"/>
          <w:sz w:val="24"/>
        </w:rPr>
        <w:t xml:space="preserve">Zdeněk </w:t>
      </w:r>
      <w:proofErr w:type="spellStart"/>
      <w:r>
        <w:rPr>
          <w:rFonts w:ascii="Arial" w:hAnsi="Arial" w:cs="Arial"/>
          <w:sz w:val="24"/>
        </w:rPr>
        <w:t>Kalvach</w:t>
      </w:r>
      <w:proofErr w:type="spellEnd"/>
      <w:r>
        <w:rPr>
          <w:rFonts w:ascii="Arial" w:hAnsi="Arial" w:cs="Arial"/>
          <w:sz w:val="24"/>
        </w:rPr>
        <w:t xml:space="preserve"> v souvislosti s citací rozsáhlého výzkumu Alana </w:t>
      </w:r>
      <w:proofErr w:type="spellStart"/>
      <w:r>
        <w:rPr>
          <w:rFonts w:ascii="Arial" w:hAnsi="Arial" w:cs="Arial"/>
          <w:sz w:val="24"/>
        </w:rPr>
        <w:t>Walkera</w:t>
      </w:r>
      <w:proofErr w:type="spellEnd"/>
      <w:r w:rsidRPr="006951A4">
        <w:rPr>
          <w:rStyle w:val="Odkaznavysvtlivky"/>
          <w:rFonts w:ascii="Arial" w:hAnsi="Arial" w:cs="Arial"/>
          <w:sz w:val="24"/>
        </w:rPr>
        <w:endnoteReference w:id="3"/>
      </w:r>
      <w:r>
        <w:rPr>
          <w:rFonts w:ascii="Arial" w:hAnsi="Arial" w:cs="Arial"/>
          <w:sz w:val="24"/>
        </w:rPr>
        <w:t xml:space="preserve"> k budoucnosti Evropy upozorňuje na nutnost udržitelného systému do budoucna, postupného penzionování, nastavení opatření k zamezení předčasných odchodů do důchodu, také </w:t>
      </w:r>
      <w:proofErr w:type="gramStart"/>
      <w:r>
        <w:rPr>
          <w:rFonts w:ascii="Arial" w:hAnsi="Arial" w:cs="Arial"/>
          <w:sz w:val="24"/>
        </w:rPr>
        <w:t>hovoří</w:t>
      </w:r>
      <w:proofErr w:type="gramEnd"/>
      <w:r>
        <w:rPr>
          <w:rFonts w:ascii="Arial" w:hAnsi="Arial" w:cs="Arial"/>
          <w:sz w:val="24"/>
        </w:rPr>
        <w:t xml:space="preserve"> o nutném prolomení mýtu o neměnném zdravotním stavu lidí, kdy empirie ukazuje, že starší lidé jsou v lepším zdravotním stavu a do pobytových zařízení tak odchází část nemocných seniorů podstatně později. </w:t>
      </w:r>
    </w:p>
    <w:p w14:paraId="1E692772" w14:textId="37438565" w:rsidR="008D6DD3" w:rsidRDefault="008D6DD3" w:rsidP="008D6DD3">
      <w:pPr>
        <w:spacing w:after="120" w:line="360" w:lineRule="auto"/>
        <w:jc w:val="both"/>
        <w:rPr>
          <w:rFonts w:ascii="Arial" w:hAnsi="Arial" w:cs="Arial"/>
          <w:b/>
          <w:sz w:val="24"/>
        </w:rPr>
      </w:pPr>
      <w:r w:rsidRPr="006951A4">
        <w:rPr>
          <w:rFonts w:ascii="Arial" w:hAnsi="Arial" w:cs="Arial"/>
          <w:b/>
          <w:sz w:val="24"/>
        </w:rPr>
        <w:t xml:space="preserve">K prosperující a soudržné dlouhověké společnosti vede cesta přes komplexní přístup </w:t>
      </w:r>
      <w:r w:rsidRPr="000F6B60">
        <w:rPr>
          <w:rFonts w:ascii="Arial" w:hAnsi="Arial" w:cs="Arial"/>
          <w:bCs/>
          <w:sz w:val="24"/>
        </w:rPr>
        <w:t>a vzájemně provázané veřejné politiky</w:t>
      </w:r>
      <w:r w:rsidRPr="00EF6C20">
        <w:rPr>
          <w:rFonts w:ascii="Arial" w:hAnsi="Arial" w:cs="Arial"/>
          <w:b/>
          <w:sz w:val="24"/>
        </w:rPr>
        <w:t xml:space="preserve">. </w:t>
      </w:r>
      <w:r w:rsidRPr="00EF6C20">
        <w:rPr>
          <w:rFonts w:ascii="Arial" w:hAnsi="Arial" w:cs="Arial"/>
          <w:b/>
          <w:bCs/>
          <w:sz w:val="24"/>
        </w:rPr>
        <w:t>Příprava na stárnutí společnosti</w:t>
      </w:r>
      <w:r w:rsidRPr="00EF6C20">
        <w:rPr>
          <w:rFonts w:ascii="Arial" w:hAnsi="Arial" w:cs="Arial"/>
          <w:sz w:val="24"/>
        </w:rPr>
        <w:t xml:space="preserve"> </w:t>
      </w:r>
      <w:r w:rsidRPr="00EF6C20">
        <w:rPr>
          <w:rFonts w:ascii="Arial" w:hAnsi="Arial" w:cs="Arial"/>
          <w:bCs/>
          <w:sz w:val="24"/>
        </w:rPr>
        <w:t>by měla být chápána</w:t>
      </w:r>
      <w:r w:rsidRPr="00EF6C20">
        <w:rPr>
          <w:rFonts w:ascii="Arial" w:hAnsi="Arial" w:cs="Arial"/>
          <w:b/>
          <w:sz w:val="24"/>
        </w:rPr>
        <w:t xml:space="preserve"> jako aktuální celospolečenské téma,</w:t>
      </w:r>
      <w:r w:rsidRPr="006951A4" w:rsidDel="00012D7B">
        <w:rPr>
          <w:rFonts w:ascii="Arial" w:hAnsi="Arial" w:cs="Arial"/>
          <w:sz w:val="24"/>
        </w:rPr>
        <w:t xml:space="preserve"> </w:t>
      </w:r>
      <w:r w:rsidRPr="006951A4">
        <w:rPr>
          <w:rFonts w:ascii="Arial" w:hAnsi="Arial" w:cs="Arial"/>
          <w:sz w:val="24"/>
        </w:rPr>
        <w:t>které nemůže být nadále redukováno pouze na otázku důchodového systému</w:t>
      </w:r>
      <w:r>
        <w:rPr>
          <w:rFonts w:ascii="Arial" w:hAnsi="Arial" w:cs="Arial"/>
          <w:sz w:val="24"/>
        </w:rPr>
        <w:t xml:space="preserve"> a bezbariérového veřejného prostou v technickém smyslu.</w:t>
      </w:r>
      <w:r w:rsidRPr="006951A4">
        <w:rPr>
          <w:rFonts w:ascii="Arial" w:hAnsi="Arial" w:cs="Arial"/>
          <w:sz w:val="24"/>
        </w:rPr>
        <w:t xml:space="preserve"> </w:t>
      </w:r>
    </w:p>
    <w:p w14:paraId="431B1562" w14:textId="77777777" w:rsidR="008D6DD3" w:rsidRPr="00C647A7" w:rsidRDefault="008D6DD3" w:rsidP="008D6DD3">
      <w:pPr>
        <w:spacing w:after="0" w:line="360" w:lineRule="auto"/>
        <w:contextualSpacing/>
        <w:jc w:val="both"/>
        <w:rPr>
          <w:rFonts w:ascii="Arial" w:hAnsi="Arial" w:cs="Arial"/>
          <w:bCs/>
          <w:sz w:val="24"/>
          <w:szCs w:val="24"/>
        </w:rPr>
      </w:pPr>
      <w:r>
        <w:rPr>
          <w:rFonts w:ascii="Arial" w:hAnsi="Arial" w:cs="Arial"/>
          <w:bCs/>
          <w:sz w:val="24"/>
          <w:szCs w:val="24"/>
        </w:rPr>
        <w:t>Otázka</w:t>
      </w:r>
      <w:r w:rsidRPr="00DE0ECE">
        <w:rPr>
          <w:rFonts w:ascii="Arial" w:hAnsi="Arial" w:cs="Arial"/>
          <w:bCs/>
          <w:sz w:val="24"/>
          <w:szCs w:val="24"/>
        </w:rPr>
        <w:t xml:space="preserve"> z</w:t>
      </w:r>
      <w:r>
        <w:rPr>
          <w:rFonts w:ascii="Arial" w:hAnsi="Arial" w:cs="Arial"/>
          <w:bCs/>
          <w:sz w:val="24"/>
          <w:szCs w:val="24"/>
        </w:rPr>
        <w:t xml:space="preserve">ajištění </w:t>
      </w:r>
      <w:r w:rsidRPr="00DE0ECE">
        <w:rPr>
          <w:rFonts w:ascii="Arial" w:hAnsi="Arial" w:cs="Arial"/>
          <w:bCs/>
          <w:sz w:val="24"/>
          <w:szCs w:val="24"/>
        </w:rPr>
        <w:t xml:space="preserve">kvalitního života ve stáří se týká každého z nás. Každý z nás by se měl na stáří připravit, nebát se o něm přemýšlet a diskutovat s blízkými, kteří již v této etapě života jsou. </w:t>
      </w:r>
    </w:p>
    <w:p w14:paraId="011029B2" w14:textId="77777777" w:rsidR="008D6DD3" w:rsidRPr="00F002C1" w:rsidRDefault="008D6DD3" w:rsidP="008D6DD3">
      <w:pPr>
        <w:pStyle w:val="Citt"/>
        <w:pBdr>
          <w:top w:val="single" w:sz="18" w:space="9" w:color="44546A" w:themeColor="text2"/>
          <w:bottom w:val="single" w:sz="18" w:space="6" w:color="44546A" w:themeColor="text2"/>
        </w:pBdr>
        <w:spacing w:before="0" w:after="0"/>
        <w:rPr>
          <w:rFonts w:ascii="Arial" w:hAnsi="Arial" w:cs="Arial"/>
          <w:bCs/>
          <w:color w:val="2E74B5" w:themeColor="accent1" w:themeShade="BF"/>
        </w:rPr>
      </w:pPr>
      <w:r w:rsidRPr="00F002C1">
        <w:rPr>
          <w:rFonts w:ascii="Arial" w:hAnsi="Arial" w:cs="Arial"/>
          <w:bCs/>
          <w:color w:val="2E74B5" w:themeColor="accent1" w:themeShade="BF"/>
        </w:rPr>
        <w:t xml:space="preserve">Aktivní stárnutí by tak mělo znamenat přetrvávající participaci na společenském, ekonomickém, kulturním, duchovním i občanském dění. Zásadním aspektem přípravy na stárnutí je i podpora porodnosti a stability rodin, například prostřednictvím veřejných služeb, částečnými a flexibilními úvazky i kompenzacemi práce a nákladů při výchově dětí, aby rodiny měly dostatek času na výchovu dětí a na péči o blízké.   </w:t>
      </w:r>
    </w:p>
    <w:p w14:paraId="641C4404" w14:textId="77777777" w:rsidR="008D6DD3" w:rsidRDefault="008D6DD3" w:rsidP="008D6DD3">
      <w:pPr>
        <w:spacing w:after="120" w:line="360" w:lineRule="auto"/>
        <w:jc w:val="both"/>
        <w:rPr>
          <w:rFonts w:ascii="Arial" w:hAnsi="Arial" w:cs="Arial"/>
          <w:b/>
          <w:sz w:val="24"/>
        </w:rPr>
      </w:pPr>
    </w:p>
    <w:p w14:paraId="2B6A29B1" w14:textId="77777777" w:rsidR="008D6DD3" w:rsidRDefault="008D6DD3" w:rsidP="008D6DD3">
      <w:pPr>
        <w:pStyle w:val="MarginNote"/>
        <w:framePr w:wrap="around" w:y="1"/>
      </w:pPr>
      <w:r>
        <w:t>Aktivní senior</w:t>
      </w:r>
    </w:p>
    <w:p w14:paraId="22CE413F" w14:textId="77777777" w:rsidR="008D6DD3" w:rsidRPr="009B2E93" w:rsidRDefault="008D6DD3" w:rsidP="008D6DD3">
      <w:pPr>
        <w:spacing w:after="0" w:line="360" w:lineRule="auto"/>
        <w:jc w:val="both"/>
        <w:rPr>
          <w:rFonts w:ascii="Arial" w:hAnsi="Arial" w:cs="Arial"/>
          <w:bCs/>
          <w:sz w:val="24"/>
          <w:szCs w:val="24"/>
        </w:rPr>
      </w:pPr>
      <w:r>
        <w:rPr>
          <w:rFonts w:ascii="Arial" w:hAnsi="Arial" w:cs="Arial"/>
          <w:sz w:val="24"/>
          <w:szCs w:val="24"/>
        </w:rPr>
        <w:t xml:space="preserve">I v České republice dochází ke změně paradigmatu, kdy je nyní mnohem více kladen důraz na </w:t>
      </w:r>
      <w:r w:rsidRPr="001238A6">
        <w:rPr>
          <w:rFonts w:ascii="Arial" w:hAnsi="Arial" w:cs="Arial"/>
          <w:b/>
          <w:bCs/>
          <w:sz w:val="24"/>
          <w:szCs w:val="24"/>
        </w:rPr>
        <w:t xml:space="preserve">osobní </w:t>
      </w:r>
      <w:r>
        <w:rPr>
          <w:rFonts w:ascii="Arial" w:hAnsi="Arial" w:cs="Arial"/>
          <w:b/>
          <w:bCs/>
          <w:sz w:val="24"/>
          <w:szCs w:val="24"/>
        </w:rPr>
        <w:t xml:space="preserve">aktivitu a </w:t>
      </w:r>
      <w:r w:rsidRPr="001238A6">
        <w:rPr>
          <w:rFonts w:ascii="Arial" w:hAnsi="Arial" w:cs="Arial"/>
          <w:b/>
          <w:bCs/>
          <w:sz w:val="24"/>
          <w:szCs w:val="24"/>
        </w:rPr>
        <w:t xml:space="preserve">odpovědnost </w:t>
      </w:r>
      <w:r>
        <w:rPr>
          <w:rFonts w:ascii="Arial" w:hAnsi="Arial" w:cs="Arial"/>
          <w:b/>
          <w:bCs/>
          <w:sz w:val="24"/>
          <w:szCs w:val="24"/>
        </w:rPr>
        <w:t>člověka</w:t>
      </w:r>
      <w:r>
        <w:rPr>
          <w:rFonts w:ascii="Arial" w:hAnsi="Arial" w:cs="Arial"/>
          <w:sz w:val="24"/>
          <w:szCs w:val="24"/>
        </w:rPr>
        <w:t>, a to ve třech hlavních rovinách</w:t>
      </w:r>
      <w:r>
        <w:rPr>
          <w:rFonts w:ascii="Arial" w:hAnsi="Arial" w:cs="Arial"/>
          <w:b/>
          <w:sz w:val="24"/>
          <w:szCs w:val="24"/>
        </w:rPr>
        <w:t xml:space="preserve"> </w:t>
      </w:r>
      <w:r w:rsidRPr="009B2E93">
        <w:rPr>
          <w:rFonts w:ascii="Arial" w:hAnsi="Arial" w:cs="Arial"/>
          <w:bCs/>
          <w:sz w:val="24"/>
          <w:szCs w:val="24"/>
        </w:rPr>
        <w:t>(vůči sobě samému, vůči místní komunitě, vůči společnosti jako celku).</w:t>
      </w:r>
      <w:r>
        <w:rPr>
          <w:rStyle w:val="Znakapoznpodarou"/>
          <w:rFonts w:ascii="Arial" w:hAnsi="Arial"/>
          <w:bCs/>
          <w:sz w:val="24"/>
          <w:szCs w:val="24"/>
        </w:rPr>
        <w:footnoteReference w:id="5"/>
      </w:r>
      <w:r w:rsidRPr="009B2E93">
        <w:rPr>
          <w:rFonts w:ascii="Arial" w:hAnsi="Arial" w:cs="Arial"/>
          <w:bCs/>
          <w:sz w:val="24"/>
          <w:szCs w:val="24"/>
        </w:rPr>
        <w:t xml:space="preserve"> </w:t>
      </w:r>
    </w:p>
    <w:p w14:paraId="5DA9CE79" w14:textId="77777777" w:rsidR="008D6DD3" w:rsidRPr="00DE0ECE" w:rsidRDefault="008D6DD3" w:rsidP="008D6DD3">
      <w:pPr>
        <w:spacing w:after="0" w:line="360" w:lineRule="auto"/>
        <w:jc w:val="both"/>
        <w:rPr>
          <w:rFonts w:ascii="Arial" w:hAnsi="Arial" w:cs="Arial"/>
          <w:bCs/>
          <w:sz w:val="24"/>
          <w:szCs w:val="24"/>
        </w:rPr>
      </w:pPr>
      <w:r>
        <w:rPr>
          <w:rFonts w:ascii="Arial" w:hAnsi="Arial" w:cs="Arial"/>
          <w:b/>
          <w:sz w:val="24"/>
          <w:szCs w:val="24"/>
        </w:rPr>
        <w:t>Pod pojmem a</w:t>
      </w:r>
      <w:r w:rsidRPr="00AA7883">
        <w:rPr>
          <w:rFonts w:ascii="Arial" w:hAnsi="Arial" w:cs="Arial"/>
          <w:b/>
          <w:sz w:val="24"/>
          <w:szCs w:val="24"/>
        </w:rPr>
        <w:t>ktivní senior</w:t>
      </w:r>
      <w:r>
        <w:rPr>
          <w:rFonts w:ascii="Arial" w:hAnsi="Arial" w:cs="Arial"/>
          <w:bCs/>
          <w:sz w:val="24"/>
          <w:szCs w:val="24"/>
        </w:rPr>
        <w:t xml:space="preserve"> můžeme rozumět osobu, která: </w:t>
      </w:r>
    </w:p>
    <w:p w14:paraId="5662E7D3" w14:textId="77777777" w:rsidR="008D6DD3" w:rsidRPr="00DE0ECE" w:rsidRDefault="008D6DD3" w:rsidP="008D6DD3">
      <w:pPr>
        <w:pStyle w:val="Odstavecseseznamem"/>
        <w:numPr>
          <w:ilvl w:val="0"/>
          <w:numId w:val="7"/>
        </w:numPr>
        <w:spacing w:after="0" w:line="360" w:lineRule="auto"/>
        <w:contextualSpacing/>
        <w:jc w:val="both"/>
        <w:rPr>
          <w:rFonts w:ascii="Arial" w:hAnsi="Arial" w:cs="Arial"/>
          <w:bCs/>
          <w:sz w:val="24"/>
          <w:szCs w:val="24"/>
        </w:rPr>
      </w:pPr>
      <w:r w:rsidRPr="00AA7883">
        <w:rPr>
          <w:rFonts w:ascii="Arial" w:hAnsi="Arial" w:cs="Arial"/>
          <w:b/>
          <w:sz w:val="24"/>
          <w:szCs w:val="24"/>
        </w:rPr>
        <w:lastRenderedPageBreak/>
        <w:t>dbá o své zdraví</w:t>
      </w:r>
      <w:r w:rsidRPr="00DE0ECE">
        <w:rPr>
          <w:rFonts w:ascii="Arial" w:hAnsi="Arial" w:cs="Arial"/>
          <w:bCs/>
          <w:sz w:val="24"/>
          <w:szCs w:val="24"/>
        </w:rPr>
        <w:t xml:space="preserve"> (sport, výlety, procházky, zahrádka, houbaření, trénink paměti, učení se novým věcem),</w:t>
      </w:r>
    </w:p>
    <w:p w14:paraId="2B646AC3" w14:textId="77777777" w:rsidR="008D6DD3" w:rsidRPr="00584851" w:rsidRDefault="008D6DD3" w:rsidP="008D6DD3">
      <w:pPr>
        <w:pStyle w:val="Odstavecseseznamem"/>
        <w:numPr>
          <w:ilvl w:val="0"/>
          <w:numId w:val="7"/>
        </w:numPr>
        <w:suppressAutoHyphens w:val="0"/>
        <w:spacing w:after="0" w:line="360" w:lineRule="auto"/>
        <w:contextualSpacing/>
        <w:jc w:val="both"/>
        <w:rPr>
          <w:rFonts w:ascii="Arial" w:hAnsi="Arial" w:cs="Arial"/>
          <w:bCs/>
          <w:sz w:val="24"/>
          <w:szCs w:val="24"/>
        </w:rPr>
      </w:pPr>
      <w:r w:rsidRPr="00584851">
        <w:rPr>
          <w:rFonts w:ascii="Arial" w:hAnsi="Arial" w:cs="Arial"/>
          <w:bCs/>
          <w:sz w:val="24"/>
          <w:szCs w:val="24"/>
        </w:rPr>
        <w:t xml:space="preserve">aktivně podle možností </w:t>
      </w:r>
      <w:r>
        <w:rPr>
          <w:rFonts w:ascii="Arial" w:hAnsi="Arial" w:cs="Arial"/>
          <w:bCs/>
          <w:sz w:val="24"/>
          <w:szCs w:val="24"/>
        </w:rPr>
        <w:t xml:space="preserve">se podílí </w:t>
      </w:r>
      <w:r w:rsidRPr="00584851">
        <w:rPr>
          <w:rFonts w:ascii="Arial" w:hAnsi="Arial" w:cs="Arial"/>
          <w:b/>
          <w:sz w:val="24"/>
          <w:szCs w:val="24"/>
        </w:rPr>
        <w:t>svými zkušenostmi</w:t>
      </w:r>
      <w:r>
        <w:rPr>
          <w:rFonts w:ascii="Arial" w:hAnsi="Arial" w:cs="Arial"/>
          <w:b/>
          <w:sz w:val="24"/>
          <w:szCs w:val="24"/>
        </w:rPr>
        <w:t xml:space="preserve"> a pracovními dovednostmi na tvorbě hodnot ve společnosti,</w:t>
      </w:r>
    </w:p>
    <w:p w14:paraId="46607DE7" w14:textId="77777777" w:rsidR="008D6DD3" w:rsidRPr="0024500C" w:rsidRDefault="008D6DD3" w:rsidP="008D6DD3">
      <w:pPr>
        <w:pStyle w:val="Odstavecseseznamem"/>
        <w:numPr>
          <w:ilvl w:val="0"/>
          <w:numId w:val="7"/>
        </w:numPr>
        <w:suppressAutoHyphens w:val="0"/>
        <w:spacing w:after="0" w:line="360" w:lineRule="auto"/>
        <w:contextualSpacing/>
        <w:jc w:val="both"/>
        <w:rPr>
          <w:rFonts w:ascii="Arial" w:hAnsi="Arial" w:cs="Arial"/>
          <w:bCs/>
          <w:sz w:val="24"/>
          <w:szCs w:val="24"/>
        </w:rPr>
      </w:pPr>
      <w:r w:rsidRPr="00AA7883">
        <w:rPr>
          <w:rFonts w:ascii="Arial" w:hAnsi="Arial" w:cs="Arial"/>
          <w:b/>
          <w:sz w:val="24"/>
          <w:szCs w:val="24"/>
        </w:rPr>
        <w:t>udržuje sociální kontakty</w:t>
      </w:r>
      <w:r w:rsidRPr="0024500C">
        <w:rPr>
          <w:rFonts w:ascii="Arial" w:hAnsi="Arial" w:cs="Arial"/>
          <w:bCs/>
          <w:sz w:val="24"/>
          <w:szCs w:val="24"/>
        </w:rPr>
        <w:t xml:space="preserve"> (zaměstnání, rodina, přátelé, kurzy, spolky, vzdělávání, dobrovolnictví, zájem o aktivní účast na aktivitách v obci),</w:t>
      </w:r>
    </w:p>
    <w:p w14:paraId="7ECAD032" w14:textId="77777777" w:rsidR="008D6DD3" w:rsidRPr="0024500C" w:rsidRDefault="008D6DD3" w:rsidP="008D6DD3">
      <w:pPr>
        <w:pStyle w:val="Odstavecseseznamem"/>
        <w:numPr>
          <w:ilvl w:val="0"/>
          <w:numId w:val="7"/>
        </w:numPr>
        <w:suppressAutoHyphens w:val="0"/>
        <w:spacing w:after="0" w:line="360" w:lineRule="auto"/>
        <w:contextualSpacing/>
        <w:jc w:val="both"/>
        <w:rPr>
          <w:rFonts w:ascii="Arial" w:hAnsi="Arial" w:cs="Arial"/>
          <w:bCs/>
          <w:sz w:val="24"/>
          <w:szCs w:val="24"/>
        </w:rPr>
      </w:pPr>
      <w:r>
        <w:rPr>
          <w:rFonts w:ascii="Arial" w:hAnsi="Arial" w:cs="Arial"/>
          <w:bCs/>
          <w:sz w:val="24"/>
          <w:szCs w:val="24"/>
        </w:rPr>
        <w:t>má</w:t>
      </w:r>
      <w:r w:rsidRPr="0024500C">
        <w:rPr>
          <w:rFonts w:ascii="Arial" w:hAnsi="Arial" w:cs="Arial"/>
          <w:bCs/>
          <w:sz w:val="24"/>
          <w:szCs w:val="24"/>
        </w:rPr>
        <w:t xml:space="preserve"> </w:t>
      </w:r>
      <w:r w:rsidRPr="00AA7883">
        <w:rPr>
          <w:rFonts w:ascii="Arial" w:hAnsi="Arial" w:cs="Arial"/>
          <w:b/>
          <w:sz w:val="24"/>
          <w:szCs w:val="24"/>
        </w:rPr>
        <w:t>pocit bezpečí</w:t>
      </w:r>
      <w:r w:rsidRPr="0024500C">
        <w:rPr>
          <w:rFonts w:ascii="Arial" w:hAnsi="Arial" w:cs="Arial"/>
          <w:bCs/>
          <w:sz w:val="24"/>
          <w:szCs w:val="24"/>
        </w:rPr>
        <w:t xml:space="preserve"> </w:t>
      </w:r>
      <w:r>
        <w:rPr>
          <w:rFonts w:ascii="Arial" w:hAnsi="Arial" w:cs="Arial"/>
          <w:bCs/>
          <w:sz w:val="24"/>
          <w:szCs w:val="24"/>
        </w:rPr>
        <w:t xml:space="preserve">a jistoty ve svém okolí </w:t>
      </w:r>
      <w:r w:rsidRPr="0024500C">
        <w:rPr>
          <w:rFonts w:ascii="Arial" w:hAnsi="Arial" w:cs="Arial"/>
          <w:bCs/>
          <w:sz w:val="24"/>
          <w:szCs w:val="24"/>
        </w:rPr>
        <w:t xml:space="preserve">(vnější podmínky, které musí společnost zajistit – rovný přístup k seniorům, přístup ke zdravotní péči, bezbariérovost, dostatečné materiální zajištění). </w:t>
      </w:r>
    </w:p>
    <w:p w14:paraId="45A200BB" w14:textId="77777777" w:rsidR="008D6DD3" w:rsidRDefault="008D6DD3" w:rsidP="008D6DD3">
      <w:pPr>
        <w:spacing w:after="120" w:line="360" w:lineRule="auto"/>
        <w:jc w:val="both"/>
        <w:rPr>
          <w:rFonts w:ascii="Arial" w:hAnsi="Arial" w:cs="Arial"/>
          <w:sz w:val="24"/>
        </w:rPr>
      </w:pPr>
    </w:p>
    <w:p w14:paraId="7302D56E" w14:textId="77777777" w:rsidR="008D6DD3" w:rsidRDefault="008D6DD3" w:rsidP="008D6DD3">
      <w:pPr>
        <w:spacing w:after="120" w:line="360" w:lineRule="auto"/>
        <w:jc w:val="both"/>
        <w:rPr>
          <w:rFonts w:ascii="Arial" w:hAnsi="Arial" w:cs="Arial"/>
          <w:sz w:val="24"/>
          <w:szCs w:val="24"/>
        </w:rPr>
      </w:pPr>
      <w:r>
        <w:rPr>
          <w:rFonts w:ascii="Arial" w:hAnsi="Arial" w:cs="Arial"/>
          <w:sz w:val="24"/>
        </w:rPr>
        <w:t>Vidíme, že aktivní stárnutí je důležitou součástí prevence s</w:t>
      </w:r>
      <w:r w:rsidRPr="00D87715">
        <w:rPr>
          <w:rFonts w:ascii="Arial" w:hAnsi="Arial" w:cs="Arial"/>
          <w:sz w:val="24"/>
          <w:szCs w:val="24"/>
        </w:rPr>
        <w:t>ociální izolace a osamělost</w:t>
      </w:r>
      <w:r>
        <w:rPr>
          <w:rFonts w:ascii="Arial" w:hAnsi="Arial" w:cs="Arial"/>
          <w:sz w:val="24"/>
          <w:szCs w:val="24"/>
        </w:rPr>
        <w:t>i</w:t>
      </w:r>
      <w:r w:rsidRPr="00D87715">
        <w:rPr>
          <w:rFonts w:ascii="Arial" w:hAnsi="Arial" w:cs="Arial"/>
          <w:sz w:val="24"/>
          <w:szCs w:val="24"/>
        </w:rPr>
        <w:t xml:space="preserve"> seniorů a</w:t>
      </w:r>
      <w:r>
        <w:rPr>
          <w:rFonts w:ascii="Arial" w:hAnsi="Arial" w:cs="Arial"/>
          <w:sz w:val="24"/>
          <w:szCs w:val="24"/>
        </w:rPr>
        <w:t> </w:t>
      </w:r>
      <w:r w:rsidRPr="00D87715">
        <w:rPr>
          <w:rFonts w:ascii="Arial" w:hAnsi="Arial" w:cs="Arial"/>
          <w:sz w:val="24"/>
          <w:szCs w:val="24"/>
        </w:rPr>
        <w:t>seniorek</w:t>
      </w:r>
      <w:r>
        <w:rPr>
          <w:rFonts w:ascii="Arial" w:hAnsi="Arial" w:cs="Arial"/>
          <w:sz w:val="24"/>
          <w:szCs w:val="24"/>
        </w:rPr>
        <w:t xml:space="preserve">. Toto </w:t>
      </w:r>
      <w:r w:rsidRPr="00D87715">
        <w:rPr>
          <w:rFonts w:ascii="Arial" w:hAnsi="Arial" w:cs="Arial"/>
          <w:sz w:val="24"/>
          <w:szCs w:val="24"/>
        </w:rPr>
        <w:t>je průřezovým tématem, ve kterém se spojují další faktory – zejména se jedná o celkový přístup společnosti ke stáří a stárnutí, ale také zdravotní stav, bariéry ve veřejném prostoru a proměnu složení a struktury domácností</w:t>
      </w:r>
      <w:r>
        <w:rPr>
          <w:rFonts w:ascii="Arial" w:hAnsi="Arial" w:cs="Arial"/>
          <w:sz w:val="24"/>
          <w:szCs w:val="24"/>
        </w:rPr>
        <w:t xml:space="preserve">. </w:t>
      </w:r>
    </w:p>
    <w:p w14:paraId="652389E2" w14:textId="39E79283" w:rsidR="00D8159E" w:rsidRPr="00AC4227" w:rsidRDefault="00D8159E" w:rsidP="00F002C1">
      <w:pPr>
        <w:spacing w:after="160" w:line="259" w:lineRule="auto"/>
        <w:rPr>
          <w:rFonts w:ascii="Arial" w:hAnsi="Arial" w:cs="Arial"/>
          <w:sz w:val="24"/>
          <w:szCs w:val="24"/>
        </w:rPr>
      </w:pPr>
    </w:p>
    <w:p w14:paraId="6CE11A39" w14:textId="25191347" w:rsidR="00776D37" w:rsidRPr="00D8159E" w:rsidRDefault="00426A7F" w:rsidP="00F002C1">
      <w:pPr>
        <w:pStyle w:val="Nadpis1"/>
        <w:pBdr>
          <w:bottom w:val="single" w:sz="4" w:space="1" w:color="auto"/>
        </w:pBdr>
        <w:spacing w:after="200"/>
      </w:pPr>
      <w:bookmarkStart w:id="5" w:name="_Toc137819477"/>
      <w:r>
        <w:t>3</w:t>
      </w:r>
      <w:r w:rsidR="006B6C69">
        <w:t>. Návaznost na koncepční a strategické dokumenty</w:t>
      </w:r>
      <w:bookmarkEnd w:id="5"/>
    </w:p>
    <w:p w14:paraId="6692A087" w14:textId="3C8C62A5" w:rsidR="00B42CA9" w:rsidRDefault="009A7858" w:rsidP="009A7858">
      <w:pPr>
        <w:spacing w:line="360" w:lineRule="auto"/>
        <w:jc w:val="both"/>
        <w:rPr>
          <w:rFonts w:ascii="Arial" w:hAnsi="Arial" w:cs="Arial"/>
          <w:sz w:val="24"/>
          <w:szCs w:val="24"/>
        </w:rPr>
      </w:pPr>
      <w:r>
        <w:rPr>
          <w:rFonts w:ascii="Arial" w:hAnsi="Arial" w:cs="Arial"/>
          <w:sz w:val="24"/>
          <w:szCs w:val="24"/>
        </w:rPr>
        <w:t xml:space="preserve">Akční plán zohledňuje </w:t>
      </w:r>
      <w:r w:rsidR="00B42CA9">
        <w:rPr>
          <w:rFonts w:ascii="Arial" w:hAnsi="Arial" w:cs="Arial"/>
          <w:sz w:val="24"/>
          <w:szCs w:val="24"/>
        </w:rPr>
        <w:t>mezinárodní a EU dokumenty, které se přímo či nepřímo věnují přípravě na stárnutí a seniorské politice. Jedná se především o:</w:t>
      </w:r>
    </w:p>
    <w:p w14:paraId="32800E15" w14:textId="55428FE3" w:rsidR="00B42CA9" w:rsidRDefault="00B42CA9" w:rsidP="001D658C">
      <w:pPr>
        <w:pStyle w:val="Odstavecseseznamem"/>
        <w:numPr>
          <w:ilvl w:val="0"/>
          <w:numId w:val="4"/>
        </w:numPr>
        <w:spacing w:line="276" w:lineRule="auto"/>
        <w:jc w:val="both"/>
        <w:rPr>
          <w:rFonts w:ascii="Arial" w:hAnsi="Arial" w:cs="Arial"/>
          <w:sz w:val="24"/>
          <w:szCs w:val="24"/>
        </w:rPr>
      </w:pPr>
      <w:r>
        <w:rPr>
          <w:rFonts w:ascii="Arial" w:hAnsi="Arial" w:cs="Arial"/>
          <w:sz w:val="24"/>
          <w:szCs w:val="24"/>
        </w:rPr>
        <w:t>A</w:t>
      </w:r>
      <w:r w:rsidRPr="00AA006D">
        <w:rPr>
          <w:rFonts w:ascii="Arial" w:hAnsi="Arial" w:cs="Arial"/>
          <w:sz w:val="24"/>
          <w:szCs w:val="24"/>
        </w:rPr>
        <w:t>kční plán stárnutí a zdraví Organizace spojených národ</w:t>
      </w:r>
      <w:r>
        <w:rPr>
          <w:rFonts w:ascii="Arial" w:hAnsi="Arial" w:cs="Arial"/>
          <w:sz w:val="24"/>
          <w:szCs w:val="24"/>
        </w:rPr>
        <w:t>ů</w:t>
      </w:r>
      <w:r w:rsidR="00CF24E1">
        <w:rPr>
          <w:rFonts w:ascii="Arial" w:hAnsi="Arial" w:cs="Arial"/>
          <w:sz w:val="24"/>
          <w:szCs w:val="24"/>
        </w:rPr>
        <w:t xml:space="preserve"> – tzv. </w:t>
      </w:r>
      <w:r w:rsidR="00CF24E1" w:rsidRPr="0068169E">
        <w:rPr>
          <w:rFonts w:ascii="Arial" w:hAnsi="Arial" w:cs="Arial"/>
          <w:sz w:val="24"/>
          <w:szCs w:val="24"/>
        </w:rPr>
        <w:t>Dekád</w:t>
      </w:r>
      <w:r w:rsidR="00CF24E1">
        <w:rPr>
          <w:rFonts w:ascii="Arial" w:hAnsi="Arial" w:cs="Arial"/>
          <w:sz w:val="24"/>
          <w:szCs w:val="24"/>
        </w:rPr>
        <w:t>a</w:t>
      </w:r>
      <w:r w:rsidR="00CF24E1" w:rsidRPr="0068169E">
        <w:rPr>
          <w:rFonts w:ascii="Arial" w:hAnsi="Arial" w:cs="Arial"/>
          <w:sz w:val="24"/>
          <w:szCs w:val="24"/>
        </w:rPr>
        <w:t xml:space="preserve"> zdravého stárnutí 2021–2030</w:t>
      </w:r>
      <w:r w:rsidRPr="0068169E">
        <w:rPr>
          <w:rStyle w:val="Odkaznavysvtlivky"/>
          <w:rFonts w:ascii="Arial" w:hAnsi="Arial"/>
          <w:sz w:val="24"/>
        </w:rPr>
        <w:endnoteReference w:id="4"/>
      </w:r>
      <w:r w:rsidR="005743EF">
        <w:rPr>
          <w:rFonts w:ascii="Arial" w:hAnsi="Arial" w:cs="Arial"/>
          <w:sz w:val="24"/>
          <w:szCs w:val="24"/>
        </w:rPr>
        <w:t>,</w:t>
      </w:r>
    </w:p>
    <w:p w14:paraId="75A8FAF1" w14:textId="44075DFB" w:rsidR="00B42CA9" w:rsidRDefault="00B42CA9" w:rsidP="001D658C">
      <w:pPr>
        <w:pStyle w:val="Odstavecseseznamem"/>
        <w:numPr>
          <w:ilvl w:val="0"/>
          <w:numId w:val="4"/>
        </w:numPr>
        <w:spacing w:line="276" w:lineRule="auto"/>
        <w:jc w:val="both"/>
        <w:rPr>
          <w:rFonts w:ascii="Arial" w:hAnsi="Arial" w:cs="Arial"/>
          <w:sz w:val="24"/>
          <w:szCs w:val="24"/>
        </w:rPr>
      </w:pPr>
      <w:r w:rsidRPr="00AA006D">
        <w:rPr>
          <w:rFonts w:ascii="Arial" w:hAnsi="Arial" w:cs="Arial"/>
          <w:sz w:val="24"/>
          <w:szCs w:val="24"/>
        </w:rPr>
        <w:t>Římsk</w:t>
      </w:r>
      <w:r w:rsidR="005743EF">
        <w:rPr>
          <w:rFonts w:ascii="Arial" w:hAnsi="Arial" w:cs="Arial"/>
          <w:sz w:val="24"/>
          <w:szCs w:val="24"/>
        </w:rPr>
        <w:t>á</w:t>
      </w:r>
      <w:r w:rsidRPr="00AA006D">
        <w:rPr>
          <w:rFonts w:ascii="Arial" w:hAnsi="Arial" w:cs="Arial"/>
          <w:sz w:val="24"/>
          <w:szCs w:val="24"/>
        </w:rPr>
        <w:t xml:space="preserve"> ministersk</w:t>
      </w:r>
      <w:r w:rsidR="005743EF">
        <w:rPr>
          <w:rFonts w:ascii="Arial" w:hAnsi="Arial" w:cs="Arial"/>
          <w:sz w:val="24"/>
          <w:szCs w:val="24"/>
        </w:rPr>
        <w:t>á</w:t>
      </w:r>
      <w:r w:rsidRPr="00AA006D">
        <w:rPr>
          <w:rFonts w:ascii="Arial" w:hAnsi="Arial" w:cs="Arial"/>
          <w:sz w:val="24"/>
          <w:szCs w:val="24"/>
        </w:rPr>
        <w:t xml:space="preserve"> deklarac</w:t>
      </w:r>
      <w:r w:rsidR="005743EF">
        <w:rPr>
          <w:rFonts w:ascii="Arial" w:hAnsi="Arial" w:cs="Arial"/>
          <w:sz w:val="24"/>
          <w:szCs w:val="24"/>
        </w:rPr>
        <w:t>e</w:t>
      </w:r>
      <w:r w:rsidRPr="00AA006D">
        <w:rPr>
          <w:rFonts w:ascii="Arial" w:hAnsi="Arial" w:cs="Arial"/>
          <w:sz w:val="24"/>
          <w:szCs w:val="24"/>
        </w:rPr>
        <w:t xml:space="preserve"> z</w:t>
      </w:r>
      <w:r w:rsidR="00CF24E1">
        <w:rPr>
          <w:rFonts w:ascii="Arial" w:hAnsi="Arial" w:cs="Arial"/>
          <w:sz w:val="24"/>
          <w:szCs w:val="24"/>
        </w:rPr>
        <w:t> </w:t>
      </w:r>
      <w:r w:rsidRPr="00AA006D">
        <w:rPr>
          <w:rFonts w:ascii="Arial" w:hAnsi="Arial" w:cs="Arial"/>
          <w:sz w:val="24"/>
          <w:szCs w:val="24"/>
        </w:rPr>
        <w:t>roku 2022</w:t>
      </w:r>
      <w:r w:rsidR="005743EF">
        <w:rPr>
          <w:rFonts w:ascii="Arial" w:hAnsi="Arial" w:cs="Arial"/>
          <w:sz w:val="24"/>
          <w:szCs w:val="24"/>
        </w:rPr>
        <w:t xml:space="preserve"> (definuje </w:t>
      </w:r>
      <w:r w:rsidR="005743EF" w:rsidRPr="00AA006D">
        <w:rPr>
          <w:rFonts w:ascii="Arial" w:hAnsi="Arial" w:cs="Arial"/>
          <w:sz w:val="24"/>
          <w:szCs w:val="24"/>
        </w:rPr>
        <w:t>prioritní oblasti politiky stárnutí</w:t>
      </w:r>
      <w:r w:rsidR="005743EF">
        <w:rPr>
          <w:rFonts w:ascii="Arial" w:hAnsi="Arial" w:cs="Arial"/>
          <w:sz w:val="24"/>
          <w:szCs w:val="24"/>
        </w:rPr>
        <w:t xml:space="preserve">: </w:t>
      </w:r>
      <w:r w:rsidR="005743EF" w:rsidRPr="005743EF">
        <w:rPr>
          <w:rFonts w:ascii="Arial" w:hAnsi="Arial" w:cs="Arial"/>
          <w:sz w:val="24"/>
          <w:szCs w:val="24"/>
        </w:rPr>
        <w:t>lidská práva, různorodost seniorské populace a paradigma životní dráhy</w:t>
      </w:r>
      <w:r w:rsidR="005743EF">
        <w:rPr>
          <w:rFonts w:ascii="Arial" w:hAnsi="Arial" w:cs="Arial"/>
          <w:sz w:val="24"/>
          <w:szCs w:val="24"/>
        </w:rPr>
        <w:t>)</w:t>
      </w:r>
      <w:r w:rsidRPr="0068169E">
        <w:rPr>
          <w:rStyle w:val="Odkaznavysvtlivky"/>
          <w:rFonts w:ascii="Arial" w:hAnsi="Arial"/>
          <w:sz w:val="24"/>
        </w:rPr>
        <w:endnoteReference w:id="5"/>
      </w:r>
      <w:r>
        <w:rPr>
          <w:rFonts w:ascii="Arial" w:hAnsi="Arial" w:cs="Arial"/>
          <w:sz w:val="24"/>
          <w:szCs w:val="24"/>
        </w:rPr>
        <w:t>,</w:t>
      </w:r>
    </w:p>
    <w:p w14:paraId="6EAFDC0B" w14:textId="0F65E2DD" w:rsidR="00B42CA9" w:rsidRDefault="00B42CA9" w:rsidP="001D658C">
      <w:pPr>
        <w:pStyle w:val="Odstavecseseznamem"/>
        <w:numPr>
          <w:ilvl w:val="0"/>
          <w:numId w:val="4"/>
        </w:numPr>
        <w:spacing w:line="276" w:lineRule="auto"/>
        <w:jc w:val="both"/>
        <w:rPr>
          <w:rFonts w:ascii="Arial" w:hAnsi="Arial" w:cs="Arial"/>
          <w:sz w:val="24"/>
          <w:szCs w:val="24"/>
        </w:rPr>
      </w:pPr>
      <w:r>
        <w:rPr>
          <w:rFonts w:ascii="Arial" w:hAnsi="Arial" w:cs="Arial"/>
          <w:sz w:val="24"/>
          <w:szCs w:val="24"/>
        </w:rPr>
        <w:t>z</w:t>
      </w:r>
      <w:r w:rsidRPr="00AA006D">
        <w:rPr>
          <w:rFonts w:ascii="Arial" w:hAnsi="Arial" w:cs="Arial"/>
          <w:sz w:val="24"/>
          <w:szCs w:val="24"/>
        </w:rPr>
        <w:t>ásad</w:t>
      </w:r>
      <w:r>
        <w:rPr>
          <w:rFonts w:ascii="Arial" w:hAnsi="Arial" w:cs="Arial"/>
          <w:sz w:val="24"/>
          <w:szCs w:val="24"/>
        </w:rPr>
        <w:t>y</w:t>
      </w:r>
      <w:r w:rsidRPr="00AA006D">
        <w:rPr>
          <w:rFonts w:ascii="Arial" w:hAnsi="Arial" w:cs="Arial"/>
          <w:sz w:val="24"/>
          <w:szCs w:val="24"/>
        </w:rPr>
        <w:t xml:space="preserve"> Organizace spojených národů (přijaté Rezolucí 46/91)</w:t>
      </w:r>
      <w:r w:rsidRPr="0068169E">
        <w:rPr>
          <w:rStyle w:val="Odkaznavysvtlivky"/>
          <w:rFonts w:ascii="Arial" w:hAnsi="Arial"/>
          <w:sz w:val="24"/>
        </w:rPr>
        <w:endnoteReference w:id="6"/>
      </w:r>
      <w:r>
        <w:rPr>
          <w:rFonts w:ascii="Arial" w:hAnsi="Arial" w:cs="Arial"/>
          <w:sz w:val="24"/>
          <w:szCs w:val="24"/>
        </w:rPr>
        <w:t>, které</w:t>
      </w:r>
      <w:r w:rsidRPr="00AA006D">
        <w:rPr>
          <w:rFonts w:ascii="Arial" w:hAnsi="Arial" w:cs="Arial"/>
          <w:b/>
          <w:bCs/>
          <w:sz w:val="24"/>
          <w:szCs w:val="24"/>
        </w:rPr>
        <w:t xml:space="preserve"> </w:t>
      </w:r>
      <w:r w:rsidRPr="00AA006D">
        <w:rPr>
          <w:rFonts w:ascii="Arial" w:hAnsi="Arial" w:cs="Arial"/>
          <w:sz w:val="24"/>
          <w:szCs w:val="24"/>
        </w:rPr>
        <w:t>definuj</w:t>
      </w:r>
      <w:r>
        <w:rPr>
          <w:rFonts w:ascii="Arial" w:hAnsi="Arial" w:cs="Arial"/>
          <w:sz w:val="24"/>
          <w:szCs w:val="24"/>
        </w:rPr>
        <w:t>í</w:t>
      </w:r>
      <w:r w:rsidRPr="00AA006D">
        <w:rPr>
          <w:rFonts w:ascii="Arial" w:hAnsi="Arial" w:cs="Arial"/>
          <w:sz w:val="24"/>
          <w:szCs w:val="24"/>
        </w:rPr>
        <w:t xml:space="preserve"> pojem osobní zodpovědnost seniorů vůči společnosti</w:t>
      </w:r>
      <w:r>
        <w:rPr>
          <w:rFonts w:ascii="Arial" w:hAnsi="Arial" w:cs="Arial"/>
          <w:sz w:val="24"/>
          <w:szCs w:val="24"/>
        </w:rPr>
        <w:t>, vůči</w:t>
      </w:r>
      <w:r w:rsidRPr="00AA006D">
        <w:rPr>
          <w:rFonts w:ascii="Arial" w:hAnsi="Arial" w:cs="Arial"/>
          <w:sz w:val="24"/>
          <w:szCs w:val="24"/>
        </w:rPr>
        <w:t xml:space="preserve"> komunitě</w:t>
      </w:r>
      <w:r>
        <w:rPr>
          <w:rFonts w:ascii="Arial" w:hAnsi="Arial" w:cs="Arial"/>
          <w:sz w:val="24"/>
          <w:szCs w:val="24"/>
        </w:rPr>
        <w:t xml:space="preserve"> a vůči vlastní osobě,</w:t>
      </w:r>
    </w:p>
    <w:p w14:paraId="7DD6FBB7" w14:textId="45CF610F" w:rsidR="00B42CA9" w:rsidRDefault="00B42CA9" w:rsidP="001D658C">
      <w:pPr>
        <w:pStyle w:val="Odstavecseseznamem"/>
        <w:numPr>
          <w:ilvl w:val="0"/>
          <w:numId w:val="3"/>
        </w:numPr>
        <w:spacing w:line="276" w:lineRule="auto"/>
        <w:jc w:val="both"/>
        <w:rPr>
          <w:rFonts w:ascii="Arial" w:hAnsi="Arial" w:cs="Arial"/>
          <w:sz w:val="24"/>
          <w:szCs w:val="24"/>
        </w:rPr>
      </w:pPr>
      <w:r w:rsidRPr="005D204F">
        <w:rPr>
          <w:rFonts w:ascii="Arial" w:hAnsi="Arial" w:cs="Arial"/>
          <w:sz w:val="24"/>
          <w:szCs w:val="24"/>
        </w:rPr>
        <w:t>Evropsk</w:t>
      </w:r>
      <w:r w:rsidR="005D204F">
        <w:rPr>
          <w:rFonts w:ascii="Arial" w:hAnsi="Arial" w:cs="Arial"/>
          <w:sz w:val="24"/>
          <w:szCs w:val="24"/>
        </w:rPr>
        <w:t>ou</w:t>
      </w:r>
      <w:r w:rsidRPr="005D204F">
        <w:rPr>
          <w:rFonts w:ascii="Arial" w:hAnsi="Arial" w:cs="Arial"/>
          <w:sz w:val="24"/>
          <w:szCs w:val="24"/>
        </w:rPr>
        <w:t xml:space="preserve"> strategi</w:t>
      </w:r>
      <w:r w:rsidR="005D204F">
        <w:rPr>
          <w:rFonts w:ascii="Arial" w:hAnsi="Arial" w:cs="Arial"/>
          <w:sz w:val="24"/>
          <w:szCs w:val="24"/>
        </w:rPr>
        <w:t>i</w:t>
      </w:r>
      <w:r w:rsidRPr="005D204F">
        <w:rPr>
          <w:rFonts w:ascii="Arial" w:hAnsi="Arial" w:cs="Arial"/>
          <w:sz w:val="24"/>
          <w:szCs w:val="24"/>
        </w:rPr>
        <w:t xml:space="preserve"> v oblasti péče (</w:t>
      </w:r>
      <w:proofErr w:type="spellStart"/>
      <w:r w:rsidRPr="005D204F">
        <w:rPr>
          <w:rFonts w:ascii="Arial" w:hAnsi="Arial" w:cs="Arial"/>
          <w:sz w:val="24"/>
          <w:szCs w:val="24"/>
        </w:rPr>
        <w:t>European</w:t>
      </w:r>
      <w:proofErr w:type="spellEnd"/>
      <w:r w:rsidRPr="005D204F">
        <w:rPr>
          <w:rFonts w:ascii="Arial" w:hAnsi="Arial" w:cs="Arial"/>
          <w:sz w:val="24"/>
          <w:szCs w:val="24"/>
        </w:rPr>
        <w:t xml:space="preserve"> Care </w:t>
      </w:r>
      <w:proofErr w:type="spellStart"/>
      <w:r w:rsidRPr="005D204F">
        <w:rPr>
          <w:rFonts w:ascii="Arial" w:hAnsi="Arial" w:cs="Arial"/>
          <w:sz w:val="24"/>
          <w:szCs w:val="24"/>
        </w:rPr>
        <w:t>Strategy</w:t>
      </w:r>
      <w:proofErr w:type="spellEnd"/>
      <w:r w:rsidRPr="005D204F">
        <w:rPr>
          <w:rFonts w:ascii="Arial" w:hAnsi="Arial" w:cs="Arial"/>
          <w:sz w:val="24"/>
          <w:szCs w:val="24"/>
        </w:rPr>
        <w:t>), jejíž cílem je mj. zajistit přístup k cenově dostupné, přístupné a vysoce kvalitní péči pro osoby, které ji potřebují, a to v každém věku</w:t>
      </w:r>
      <w:r w:rsidR="00F33082">
        <w:rPr>
          <w:rFonts w:ascii="Arial" w:hAnsi="Arial" w:cs="Arial"/>
          <w:sz w:val="24"/>
          <w:szCs w:val="24"/>
        </w:rPr>
        <w:t>,</w:t>
      </w:r>
    </w:p>
    <w:p w14:paraId="27966C21" w14:textId="2D5D6FF6" w:rsidR="005743EF" w:rsidRDefault="005743EF" w:rsidP="001D658C">
      <w:pPr>
        <w:pStyle w:val="Odstavecseseznamem"/>
        <w:numPr>
          <w:ilvl w:val="1"/>
          <w:numId w:val="3"/>
        </w:numPr>
        <w:spacing w:line="276" w:lineRule="auto"/>
        <w:jc w:val="both"/>
        <w:rPr>
          <w:rFonts w:ascii="Arial" w:hAnsi="Arial" w:cs="Arial"/>
          <w:sz w:val="24"/>
          <w:szCs w:val="24"/>
        </w:rPr>
      </w:pPr>
      <w:r>
        <w:rPr>
          <w:rFonts w:ascii="Arial" w:hAnsi="Arial" w:cs="Arial"/>
          <w:sz w:val="24"/>
          <w:szCs w:val="24"/>
        </w:rPr>
        <w:t>zahrnuje</w:t>
      </w:r>
      <w:r w:rsidRPr="005743EF">
        <w:rPr>
          <w:rFonts w:ascii="Arial" w:hAnsi="Arial" w:cs="Arial"/>
          <w:sz w:val="24"/>
          <w:szCs w:val="24"/>
        </w:rPr>
        <w:t xml:space="preserve"> doporučení Rady o barcelonských cílech v oblasti předškolního vzdělávání a péče</w:t>
      </w:r>
      <w:r>
        <w:rPr>
          <w:rFonts w:ascii="Arial" w:hAnsi="Arial" w:cs="Arial"/>
          <w:sz w:val="24"/>
          <w:szCs w:val="24"/>
        </w:rPr>
        <w:t xml:space="preserve"> a</w:t>
      </w:r>
      <w:r w:rsidRPr="005743EF">
        <w:rPr>
          <w:rFonts w:ascii="Arial" w:hAnsi="Arial" w:cs="Arial"/>
          <w:sz w:val="24"/>
          <w:szCs w:val="24"/>
        </w:rPr>
        <w:t xml:space="preserve"> doporučení o dlouhodobé péči</w:t>
      </w:r>
      <w:r>
        <w:rPr>
          <w:rFonts w:ascii="Arial" w:hAnsi="Arial" w:cs="Arial"/>
          <w:sz w:val="24"/>
          <w:szCs w:val="24"/>
        </w:rPr>
        <w:t>,</w:t>
      </w:r>
    </w:p>
    <w:p w14:paraId="1BC5AAFC" w14:textId="1ADD7690" w:rsidR="00F33082" w:rsidRDefault="00F33082" w:rsidP="001D658C">
      <w:pPr>
        <w:pStyle w:val="Odstavecseseznamem"/>
        <w:numPr>
          <w:ilvl w:val="0"/>
          <w:numId w:val="3"/>
        </w:numPr>
        <w:spacing w:line="276" w:lineRule="auto"/>
        <w:jc w:val="both"/>
        <w:rPr>
          <w:rFonts w:ascii="Arial" w:hAnsi="Arial" w:cs="Arial"/>
          <w:sz w:val="24"/>
          <w:szCs w:val="24"/>
        </w:rPr>
      </w:pPr>
      <w:r w:rsidRPr="00F33082">
        <w:rPr>
          <w:rFonts w:ascii="Arial" w:hAnsi="Arial" w:cs="Arial"/>
          <w:sz w:val="24"/>
          <w:szCs w:val="24"/>
        </w:rPr>
        <w:t>Zpráv</w:t>
      </w:r>
      <w:r w:rsidR="005743EF">
        <w:rPr>
          <w:rFonts w:ascii="Arial" w:hAnsi="Arial" w:cs="Arial"/>
          <w:sz w:val="24"/>
          <w:szCs w:val="24"/>
        </w:rPr>
        <w:t>u</w:t>
      </w:r>
      <w:r w:rsidRPr="00F33082">
        <w:rPr>
          <w:rFonts w:ascii="Arial" w:hAnsi="Arial" w:cs="Arial"/>
          <w:sz w:val="24"/>
          <w:szCs w:val="24"/>
        </w:rPr>
        <w:t xml:space="preserve"> </w:t>
      </w:r>
      <w:r>
        <w:rPr>
          <w:rFonts w:ascii="Arial" w:hAnsi="Arial" w:cs="Arial"/>
          <w:sz w:val="24"/>
          <w:szCs w:val="24"/>
        </w:rPr>
        <w:t>Evropské k</w:t>
      </w:r>
      <w:r w:rsidRPr="00F33082">
        <w:rPr>
          <w:rFonts w:ascii="Arial" w:hAnsi="Arial" w:cs="Arial"/>
          <w:sz w:val="24"/>
          <w:szCs w:val="24"/>
        </w:rPr>
        <w:t>omise o dopadu demografických změn</w:t>
      </w:r>
      <w:r w:rsidR="005743EF">
        <w:rPr>
          <w:rFonts w:ascii="Arial" w:hAnsi="Arial" w:cs="Arial"/>
          <w:sz w:val="24"/>
          <w:szCs w:val="24"/>
        </w:rPr>
        <w:t xml:space="preserve"> (</w:t>
      </w:r>
      <w:r w:rsidRPr="00F33082">
        <w:rPr>
          <w:rFonts w:ascii="Arial" w:hAnsi="Arial" w:cs="Arial"/>
          <w:sz w:val="24"/>
          <w:szCs w:val="24"/>
        </w:rPr>
        <w:t>2020</w:t>
      </w:r>
      <w:r w:rsidR="005743EF">
        <w:rPr>
          <w:rFonts w:ascii="Arial" w:hAnsi="Arial" w:cs="Arial"/>
          <w:sz w:val="24"/>
          <w:szCs w:val="24"/>
        </w:rPr>
        <w:t>)</w:t>
      </w:r>
      <w:r w:rsidRPr="0068169E">
        <w:rPr>
          <w:rStyle w:val="Odkaznavysvtlivky"/>
          <w:rFonts w:ascii="Arial" w:hAnsi="Arial"/>
          <w:sz w:val="24"/>
        </w:rPr>
        <w:endnoteReference w:id="7"/>
      </w:r>
      <w:r w:rsidR="005743EF">
        <w:rPr>
          <w:rFonts w:ascii="Arial" w:hAnsi="Arial" w:cs="Arial"/>
          <w:sz w:val="24"/>
          <w:szCs w:val="24"/>
        </w:rPr>
        <w:t xml:space="preserve">, která popisuje </w:t>
      </w:r>
      <w:r w:rsidR="005743EF" w:rsidRPr="005743EF">
        <w:rPr>
          <w:rFonts w:ascii="Arial" w:hAnsi="Arial" w:cs="Arial"/>
          <w:sz w:val="24"/>
          <w:szCs w:val="24"/>
        </w:rPr>
        <w:t xml:space="preserve">dlouhodobé demografické trendy v evropských regionech – od delší </w:t>
      </w:r>
      <w:r w:rsidR="005743EF" w:rsidRPr="005743EF">
        <w:rPr>
          <w:rFonts w:ascii="Arial" w:hAnsi="Arial" w:cs="Arial"/>
          <w:sz w:val="24"/>
          <w:szCs w:val="24"/>
        </w:rPr>
        <w:lastRenderedPageBreak/>
        <w:t xml:space="preserve">střední délky života až po nižší porodnost, </w:t>
      </w:r>
      <w:r w:rsidR="005743EF">
        <w:rPr>
          <w:rFonts w:ascii="Arial" w:hAnsi="Arial" w:cs="Arial"/>
          <w:sz w:val="24"/>
          <w:szCs w:val="24"/>
        </w:rPr>
        <w:t xml:space="preserve">demografické </w:t>
      </w:r>
      <w:r w:rsidR="005743EF" w:rsidRPr="005743EF">
        <w:rPr>
          <w:rFonts w:ascii="Arial" w:hAnsi="Arial" w:cs="Arial"/>
          <w:sz w:val="24"/>
          <w:szCs w:val="24"/>
        </w:rPr>
        <w:t>stár</w:t>
      </w:r>
      <w:r w:rsidR="005743EF">
        <w:rPr>
          <w:rFonts w:ascii="Arial" w:hAnsi="Arial" w:cs="Arial"/>
          <w:sz w:val="24"/>
          <w:szCs w:val="24"/>
        </w:rPr>
        <w:t xml:space="preserve">nutí </w:t>
      </w:r>
      <w:r w:rsidR="005743EF" w:rsidRPr="005743EF">
        <w:rPr>
          <w:rFonts w:ascii="Arial" w:hAnsi="Arial" w:cs="Arial"/>
          <w:sz w:val="24"/>
          <w:szCs w:val="24"/>
        </w:rPr>
        <w:t>a rostoucí urbanizaci</w:t>
      </w:r>
      <w:r w:rsidR="005743EF">
        <w:rPr>
          <w:rFonts w:ascii="Arial" w:hAnsi="Arial" w:cs="Arial"/>
          <w:sz w:val="24"/>
          <w:szCs w:val="24"/>
        </w:rPr>
        <w:t>,</w:t>
      </w:r>
    </w:p>
    <w:p w14:paraId="28AD8C9B" w14:textId="57F7DFA4" w:rsidR="00F33082" w:rsidRDefault="00F33082" w:rsidP="001D658C">
      <w:pPr>
        <w:pStyle w:val="Odstavecseseznamem"/>
        <w:numPr>
          <w:ilvl w:val="0"/>
          <w:numId w:val="3"/>
        </w:numPr>
        <w:spacing w:line="276" w:lineRule="auto"/>
        <w:jc w:val="both"/>
        <w:rPr>
          <w:rFonts w:ascii="Arial" w:hAnsi="Arial" w:cs="Arial"/>
          <w:sz w:val="24"/>
          <w:szCs w:val="24"/>
        </w:rPr>
      </w:pPr>
      <w:r w:rsidRPr="00F33082">
        <w:rPr>
          <w:rFonts w:ascii="Arial" w:hAnsi="Arial" w:cs="Arial"/>
          <w:sz w:val="24"/>
          <w:szCs w:val="24"/>
        </w:rPr>
        <w:t>Závěry Rady o zohledňování problematiky stárnutí (6976/21, 2021)</w:t>
      </w:r>
      <w:r w:rsidRPr="0068169E">
        <w:rPr>
          <w:rStyle w:val="Odkaznavysvtlivky"/>
          <w:rFonts w:ascii="Arial" w:hAnsi="Arial"/>
          <w:sz w:val="24"/>
        </w:rPr>
        <w:endnoteReference w:id="8"/>
      </w:r>
    </w:p>
    <w:p w14:paraId="5B4B889E" w14:textId="04B9CDFA" w:rsidR="00F33082" w:rsidRDefault="00F33082" w:rsidP="001D658C">
      <w:pPr>
        <w:pStyle w:val="Odstavecseseznamem"/>
        <w:numPr>
          <w:ilvl w:val="0"/>
          <w:numId w:val="3"/>
        </w:numPr>
        <w:spacing w:line="276" w:lineRule="auto"/>
        <w:jc w:val="both"/>
        <w:rPr>
          <w:rFonts w:ascii="Arial" w:hAnsi="Arial" w:cs="Arial"/>
          <w:sz w:val="24"/>
          <w:szCs w:val="24"/>
        </w:rPr>
      </w:pPr>
      <w:r w:rsidRPr="00F33082">
        <w:rPr>
          <w:rFonts w:ascii="Arial" w:hAnsi="Arial" w:cs="Arial"/>
          <w:sz w:val="24"/>
          <w:szCs w:val="24"/>
        </w:rPr>
        <w:t>Zelen</w:t>
      </w:r>
      <w:r>
        <w:rPr>
          <w:rFonts w:ascii="Arial" w:hAnsi="Arial" w:cs="Arial"/>
          <w:sz w:val="24"/>
          <w:szCs w:val="24"/>
        </w:rPr>
        <w:t>ou</w:t>
      </w:r>
      <w:r w:rsidRPr="00F33082">
        <w:rPr>
          <w:rFonts w:ascii="Arial" w:hAnsi="Arial" w:cs="Arial"/>
          <w:sz w:val="24"/>
          <w:szCs w:val="24"/>
        </w:rPr>
        <w:t xml:space="preserve"> kni</w:t>
      </w:r>
      <w:r>
        <w:rPr>
          <w:rFonts w:ascii="Arial" w:hAnsi="Arial" w:cs="Arial"/>
          <w:sz w:val="24"/>
          <w:szCs w:val="24"/>
        </w:rPr>
        <w:t>hu</w:t>
      </w:r>
      <w:r w:rsidRPr="00F33082">
        <w:rPr>
          <w:rFonts w:ascii="Arial" w:hAnsi="Arial" w:cs="Arial"/>
          <w:sz w:val="24"/>
          <w:szCs w:val="24"/>
        </w:rPr>
        <w:t xml:space="preserve"> o stárnutí: Podpora mezigenerační solidarity a odpovědnosti (2021)</w:t>
      </w:r>
      <w:r w:rsidRPr="0068169E">
        <w:rPr>
          <w:rStyle w:val="Odkaznavysvtlivky"/>
          <w:rFonts w:ascii="Arial" w:hAnsi="Arial"/>
          <w:sz w:val="24"/>
        </w:rPr>
        <w:endnoteReference w:id="9"/>
      </w:r>
    </w:p>
    <w:p w14:paraId="57AAFCC6" w14:textId="4CAD4ED9" w:rsidR="005743EF" w:rsidRPr="00885794" w:rsidRDefault="005743EF" w:rsidP="001D658C">
      <w:pPr>
        <w:pStyle w:val="Odstavecseseznamem"/>
        <w:numPr>
          <w:ilvl w:val="0"/>
          <w:numId w:val="3"/>
        </w:numPr>
        <w:jc w:val="both"/>
        <w:rPr>
          <w:rFonts w:ascii="Arial" w:hAnsi="Arial"/>
          <w:sz w:val="24"/>
        </w:rPr>
      </w:pPr>
      <w:r w:rsidRPr="005743EF">
        <w:rPr>
          <w:rFonts w:ascii="Arial" w:hAnsi="Arial" w:cs="Arial"/>
          <w:sz w:val="24"/>
          <w:szCs w:val="24"/>
        </w:rPr>
        <w:t>Závěry Rady „Demografické výzvy – další postup“</w:t>
      </w:r>
      <w:r w:rsidRPr="005743EF">
        <w:rPr>
          <w:rFonts w:ascii="Arial" w:hAnsi="Arial"/>
          <w:sz w:val="24"/>
          <w:szCs w:val="24"/>
        </w:rPr>
        <w:t xml:space="preserve"> </w:t>
      </w:r>
      <w:r w:rsidRPr="0068169E">
        <w:rPr>
          <w:rStyle w:val="Odkaznavysvtlivky"/>
          <w:rFonts w:ascii="Arial" w:hAnsi="Arial"/>
          <w:sz w:val="24"/>
        </w:rPr>
        <w:endnoteReference w:id="10"/>
      </w:r>
      <w:r w:rsidRPr="005743EF">
        <w:rPr>
          <w:rFonts w:ascii="Arial" w:hAnsi="Arial"/>
          <w:sz w:val="24"/>
        </w:rPr>
        <w:t>,</w:t>
      </w:r>
      <w:r>
        <w:rPr>
          <w:rFonts w:ascii="Arial" w:hAnsi="Arial"/>
          <w:sz w:val="24"/>
        </w:rPr>
        <w:t xml:space="preserve"> které</w:t>
      </w:r>
      <w:r w:rsidRPr="005743EF">
        <w:t xml:space="preserve"> </w:t>
      </w:r>
      <w:r w:rsidRPr="005743EF">
        <w:rPr>
          <w:rFonts w:ascii="Arial" w:hAnsi="Arial"/>
          <w:sz w:val="24"/>
        </w:rPr>
        <w:t>kl</w:t>
      </w:r>
      <w:r>
        <w:rPr>
          <w:rFonts w:ascii="Arial" w:hAnsi="Arial"/>
          <w:sz w:val="24"/>
        </w:rPr>
        <w:t>adou</w:t>
      </w:r>
      <w:r w:rsidRPr="005743EF">
        <w:rPr>
          <w:rFonts w:ascii="Arial" w:hAnsi="Arial"/>
          <w:sz w:val="24"/>
        </w:rPr>
        <w:t xml:space="preserve"> důraz na mezigenerační solidaritu</w:t>
      </w:r>
      <w:r>
        <w:rPr>
          <w:rFonts w:ascii="Arial" w:hAnsi="Arial"/>
          <w:sz w:val="24"/>
        </w:rPr>
        <w:t>, posilování</w:t>
      </w:r>
      <w:r w:rsidRPr="005743EF">
        <w:rPr>
          <w:rFonts w:ascii="Arial" w:hAnsi="Arial"/>
          <w:sz w:val="24"/>
        </w:rPr>
        <w:t xml:space="preserve"> informovanost</w:t>
      </w:r>
      <w:r>
        <w:rPr>
          <w:rFonts w:ascii="Arial" w:hAnsi="Arial"/>
          <w:sz w:val="24"/>
        </w:rPr>
        <w:t>i</w:t>
      </w:r>
      <w:r w:rsidRPr="005743EF">
        <w:rPr>
          <w:rFonts w:ascii="Arial" w:hAnsi="Arial"/>
          <w:sz w:val="24"/>
        </w:rPr>
        <w:t xml:space="preserve"> obyvatel o právu starších osob na soběstačnost a důstojný život; </w:t>
      </w:r>
      <w:r>
        <w:rPr>
          <w:rFonts w:ascii="Arial" w:hAnsi="Arial"/>
          <w:sz w:val="24"/>
        </w:rPr>
        <w:t>podporu</w:t>
      </w:r>
      <w:r w:rsidRPr="005743EF">
        <w:rPr>
          <w:rFonts w:ascii="Arial" w:hAnsi="Arial"/>
          <w:sz w:val="24"/>
        </w:rPr>
        <w:t xml:space="preserve"> inovativní</w:t>
      </w:r>
      <w:r>
        <w:rPr>
          <w:rFonts w:ascii="Arial" w:hAnsi="Arial"/>
          <w:sz w:val="24"/>
        </w:rPr>
        <w:t>ch</w:t>
      </w:r>
      <w:r w:rsidRPr="005743EF">
        <w:rPr>
          <w:rFonts w:ascii="Arial" w:hAnsi="Arial"/>
          <w:sz w:val="24"/>
        </w:rPr>
        <w:t xml:space="preserve"> řešení k usnadnění účasti starších osob na životě společnosti </w:t>
      </w:r>
      <w:r>
        <w:rPr>
          <w:rFonts w:ascii="Arial" w:hAnsi="Arial"/>
          <w:sz w:val="24"/>
        </w:rPr>
        <w:t xml:space="preserve">i na </w:t>
      </w:r>
      <w:r w:rsidRPr="005743EF">
        <w:rPr>
          <w:rFonts w:ascii="Arial" w:hAnsi="Arial"/>
          <w:sz w:val="24"/>
        </w:rPr>
        <w:t>trhu práce</w:t>
      </w:r>
      <w:r>
        <w:rPr>
          <w:rFonts w:ascii="Arial" w:hAnsi="Arial"/>
          <w:sz w:val="24"/>
        </w:rPr>
        <w:t>;</w:t>
      </w:r>
    </w:p>
    <w:p w14:paraId="671F9043" w14:textId="58EC8CAF" w:rsidR="005743EF" w:rsidRPr="00885794" w:rsidRDefault="005743EF" w:rsidP="001D658C">
      <w:pPr>
        <w:pStyle w:val="Odstavecseseznamem"/>
        <w:numPr>
          <w:ilvl w:val="0"/>
          <w:numId w:val="3"/>
        </w:numPr>
        <w:spacing w:line="276" w:lineRule="auto"/>
        <w:jc w:val="both"/>
        <w:rPr>
          <w:rFonts w:ascii="Arial" w:hAnsi="Arial" w:cs="Arial"/>
          <w:sz w:val="24"/>
          <w:szCs w:val="24"/>
        </w:rPr>
      </w:pPr>
      <w:r w:rsidRPr="00F913DF">
        <w:rPr>
          <w:rFonts w:ascii="Arial" w:hAnsi="Arial" w:cs="Arial"/>
          <w:sz w:val="24"/>
          <w:szCs w:val="24"/>
        </w:rPr>
        <w:t>Hlavní závěr</w:t>
      </w:r>
      <w:r>
        <w:rPr>
          <w:rFonts w:ascii="Arial" w:hAnsi="Arial" w:cs="Arial"/>
          <w:sz w:val="24"/>
          <w:szCs w:val="24"/>
        </w:rPr>
        <w:t>y</w:t>
      </w:r>
      <w:r w:rsidRPr="00F913DF">
        <w:rPr>
          <w:rFonts w:ascii="Arial" w:hAnsi="Arial" w:cs="Arial"/>
          <w:sz w:val="24"/>
          <w:szCs w:val="24"/>
        </w:rPr>
        <w:t xml:space="preserve"> Zprávy Výboru pro sociální ochranu a Evropské komise o přiměřenosti důchodů z roku 2021</w:t>
      </w:r>
      <w:r w:rsidRPr="0068169E">
        <w:rPr>
          <w:rStyle w:val="Odkaznavysvtlivky"/>
          <w:rFonts w:ascii="Arial" w:hAnsi="Arial"/>
          <w:sz w:val="24"/>
        </w:rPr>
        <w:endnoteReference w:id="11"/>
      </w:r>
      <w:r>
        <w:t>,</w:t>
      </w:r>
    </w:p>
    <w:p w14:paraId="2BB74E46" w14:textId="3D31E2B0" w:rsidR="00CF24E1" w:rsidRPr="00885794" w:rsidRDefault="00885794" w:rsidP="001D658C">
      <w:pPr>
        <w:pStyle w:val="Odstavecseseznamem"/>
        <w:numPr>
          <w:ilvl w:val="0"/>
          <w:numId w:val="3"/>
        </w:numPr>
        <w:spacing w:after="200" w:line="276" w:lineRule="auto"/>
        <w:ind w:left="714" w:hanging="357"/>
        <w:jc w:val="both"/>
        <w:rPr>
          <w:rFonts w:ascii="Arial" w:hAnsi="Arial" w:cs="Arial"/>
          <w:sz w:val="24"/>
          <w:szCs w:val="24"/>
        </w:rPr>
      </w:pPr>
      <w:r w:rsidRPr="00B42CA9">
        <w:rPr>
          <w:rFonts w:ascii="Arial" w:hAnsi="Arial" w:cs="Arial"/>
          <w:sz w:val="24"/>
          <w:szCs w:val="24"/>
        </w:rPr>
        <w:t>závěry evropského dokumentu „Budoucnost sociální ochrany a sociálního státu“</w:t>
      </w:r>
      <w:r w:rsidRPr="0068169E">
        <w:rPr>
          <w:rStyle w:val="Odkaznavysvtlivky"/>
          <w:rFonts w:ascii="Arial" w:hAnsi="Arial"/>
          <w:sz w:val="24"/>
        </w:rPr>
        <w:endnoteReference w:id="12"/>
      </w:r>
      <w:r w:rsidRPr="00B42CA9">
        <w:rPr>
          <w:rFonts w:ascii="Arial" w:hAnsi="Arial" w:cs="Arial"/>
          <w:sz w:val="24"/>
          <w:szCs w:val="24"/>
        </w:rPr>
        <w:t>, který se detailně věnuje výzvám v oblasti sociálního zabezpečení nejen seniorů</w:t>
      </w:r>
      <w:r>
        <w:rPr>
          <w:rFonts w:ascii="Arial" w:hAnsi="Arial" w:cs="Arial"/>
          <w:sz w:val="24"/>
          <w:szCs w:val="24"/>
        </w:rPr>
        <w:t>.</w:t>
      </w:r>
    </w:p>
    <w:p w14:paraId="414BB37B" w14:textId="3FCB4594" w:rsidR="00885794" w:rsidRDefault="005D204F" w:rsidP="00916826">
      <w:pPr>
        <w:spacing w:line="360" w:lineRule="auto"/>
        <w:jc w:val="both"/>
        <w:rPr>
          <w:rFonts w:ascii="Arial" w:hAnsi="Arial" w:cs="Arial"/>
          <w:sz w:val="24"/>
          <w:szCs w:val="24"/>
        </w:rPr>
      </w:pPr>
      <w:r>
        <w:rPr>
          <w:rFonts w:ascii="Arial" w:hAnsi="Arial" w:cs="Arial"/>
          <w:sz w:val="24"/>
          <w:szCs w:val="24"/>
        </w:rPr>
        <w:t>V kontextu ČR a</w:t>
      </w:r>
      <w:r w:rsidR="003C0D6A" w:rsidRPr="0068169E">
        <w:rPr>
          <w:rFonts w:ascii="Arial" w:hAnsi="Arial" w:cs="Arial"/>
          <w:sz w:val="24"/>
          <w:szCs w:val="24"/>
        </w:rPr>
        <w:t xml:space="preserve">kční plán </w:t>
      </w:r>
      <w:r w:rsidR="00F7171B">
        <w:rPr>
          <w:rFonts w:ascii="Arial" w:hAnsi="Arial" w:cs="Arial"/>
          <w:sz w:val="24"/>
          <w:szCs w:val="24"/>
        </w:rPr>
        <w:t>reflektuje</w:t>
      </w:r>
      <w:r w:rsidR="001B3B38">
        <w:rPr>
          <w:rFonts w:ascii="Arial" w:hAnsi="Arial" w:cs="Arial"/>
          <w:sz w:val="24"/>
          <w:szCs w:val="24"/>
        </w:rPr>
        <w:t xml:space="preserve"> priority vlády zakotvené </w:t>
      </w:r>
      <w:r w:rsidR="003C0D6A" w:rsidRPr="0068169E">
        <w:rPr>
          <w:rFonts w:ascii="Arial" w:hAnsi="Arial" w:cs="Arial"/>
          <w:sz w:val="24"/>
          <w:szCs w:val="24"/>
        </w:rPr>
        <w:t xml:space="preserve">v </w:t>
      </w:r>
      <w:r w:rsidR="003C0D6A" w:rsidRPr="008912C5">
        <w:rPr>
          <w:rFonts w:ascii="Arial" w:hAnsi="Arial" w:cs="Arial"/>
          <w:i/>
          <w:iCs/>
          <w:sz w:val="24"/>
          <w:szCs w:val="24"/>
        </w:rPr>
        <w:t>Programovém prohlášení vlády České republiky</w:t>
      </w:r>
      <w:r w:rsidR="00885794">
        <w:rPr>
          <w:rFonts w:ascii="Arial" w:hAnsi="Arial" w:cs="Arial"/>
          <w:i/>
          <w:iCs/>
          <w:sz w:val="24"/>
          <w:szCs w:val="24"/>
        </w:rPr>
        <w:t xml:space="preserve"> </w:t>
      </w:r>
      <w:r w:rsidR="00885794" w:rsidRPr="00885794">
        <w:rPr>
          <w:rFonts w:ascii="Arial" w:hAnsi="Arial" w:cs="Arial"/>
          <w:i/>
          <w:iCs/>
          <w:sz w:val="24"/>
          <w:szCs w:val="24"/>
        </w:rPr>
        <w:t>ve znění revize 03/2023</w:t>
      </w:r>
      <w:r w:rsidR="003C0D6A" w:rsidRPr="0068169E">
        <w:rPr>
          <w:rStyle w:val="Odkaznavysvtlivky"/>
          <w:rFonts w:ascii="Arial" w:hAnsi="Arial"/>
          <w:sz w:val="24"/>
        </w:rPr>
        <w:endnoteReference w:id="13"/>
      </w:r>
      <w:r w:rsidR="009A2CF3">
        <w:rPr>
          <w:rFonts w:ascii="Arial" w:hAnsi="Arial" w:cs="Arial"/>
          <w:i/>
          <w:iCs/>
          <w:sz w:val="24"/>
          <w:szCs w:val="24"/>
        </w:rPr>
        <w:t xml:space="preserve">. </w:t>
      </w:r>
      <w:r w:rsidR="009A2CF3">
        <w:rPr>
          <w:rFonts w:ascii="Arial" w:hAnsi="Arial" w:cs="Arial"/>
          <w:sz w:val="24"/>
          <w:szCs w:val="24"/>
        </w:rPr>
        <w:t>Jedná se zejména o</w:t>
      </w:r>
      <w:r w:rsidR="00215199">
        <w:rPr>
          <w:rFonts w:ascii="Arial" w:hAnsi="Arial" w:cs="Arial"/>
          <w:sz w:val="24"/>
          <w:szCs w:val="24"/>
        </w:rPr>
        <w:t> </w:t>
      </w:r>
      <w:r w:rsidR="009A2CF3">
        <w:rPr>
          <w:rFonts w:ascii="Arial" w:hAnsi="Arial" w:cs="Arial"/>
          <w:sz w:val="24"/>
          <w:szCs w:val="24"/>
        </w:rPr>
        <w:t xml:space="preserve">podporu flexibilních pracovních úvazků, realizaci důchodové reformy, podporu </w:t>
      </w:r>
      <w:r w:rsidR="00885794" w:rsidRPr="00F82E6F">
        <w:rPr>
          <w:rFonts w:ascii="Arial" w:hAnsi="Arial" w:cs="Arial"/>
          <w:sz w:val="24"/>
          <w:szCs w:val="24"/>
        </w:rPr>
        <w:t xml:space="preserve">kvalitní </w:t>
      </w:r>
      <w:r w:rsidR="009A2CF3">
        <w:rPr>
          <w:rFonts w:ascii="Arial" w:hAnsi="Arial" w:cs="Arial"/>
          <w:sz w:val="24"/>
          <w:szCs w:val="24"/>
        </w:rPr>
        <w:t xml:space="preserve">dostupné </w:t>
      </w:r>
      <w:r w:rsidR="00885794" w:rsidRPr="00F82E6F">
        <w:rPr>
          <w:rFonts w:ascii="Arial" w:hAnsi="Arial" w:cs="Arial"/>
          <w:sz w:val="24"/>
          <w:szCs w:val="24"/>
        </w:rPr>
        <w:t>sociální péč</w:t>
      </w:r>
      <w:r w:rsidR="009A2CF3">
        <w:rPr>
          <w:rFonts w:ascii="Arial" w:hAnsi="Arial" w:cs="Arial"/>
          <w:sz w:val="24"/>
          <w:szCs w:val="24"/>
        </w:rPr>
        <w:t>e</w:t>
      </w:r>
      <w:r w:rsidR="00885794" w:rsidRPr="00F82E6F">
        <w:rPr>
          <w:rFonts w:ascii="Arial" w:hAnsi="Arial" w:cs="Arial"/>
          <w:sz w:val="24"/>
          <w:szCs w:val="24"/>
        </w:rPr>
        <w:t xml:space="preserve"> a sociální</w:t>
      </w:r>
      <w:r w:rsidR="009A2CF3">
        <w:rPr>
          <w:rFonts w:ascii="Arial" w:hAnsi="Arial" w:cs="Arial"/>
          <w:sz w:val="24"/>
          <w:szCs w:val="24"/>
        </w:rPr>
        <w:t>ch</w:t>
      </w:r>
      <w:r w:rsidR="00885794" w:rsidRPr="00F82E6F">
        <w:rPr>
          <w:rFonts w:ascii="Arial" w:hAnsi="Arial" w:cs="Arial"/>
          <w:sz w:val="24"/>
          <w:szCs w:val="24"/>
        </w:rPr>
        <w:t xml:space="preserve"> služ</w:t>
      </w:r>
      <w:r w:rsidR="009A2CF3">
        <w:rPr>
          <w:rFonts w:ascii="Arial" w:hAnsi="Arial" w:cs="Arial"/>
          <w:sz w:val="24"/>
          <w:szCs w:val="24"/>
        </w:rPr>
        <w:t xml:space="preserve">eb, úpravu </w:t>
      </w:r>
      <w:r w:rsidR="00885794" w:rsidRPr="008165ED">
        <w:rPr>
          <w:rFonts w:ascii="Arial" w:hAnsi="Arial" w:cs="Arial"/>
          <w:sz w:val="24"/>
          <w:szCs w:val="24"/>
        </w:rPr>
        <w:t>legislativní</w:t>
      </w:r>
      <w:r w:rsidR="009A2CF3">
        <w:rPr>
          <w:rFonts w:ascii="Arial" w:hAnsi="Arial" w:cs="Arial"/>
          <w:sz w:val="24"/>
          <w:szCs w:val="24"/>
        </w:rPr>
        <w:t>ho</w:t>
      </w:r>
      <w:r w:rsidR="00885794" w:rsidRPr="008165ED">
        <w:rPr>
          <w:rFonts w:ascii="Arial" w:hAnsi="Arial" w:cs="Arial"/>
          <w:sz w:val="24"/>
          <w:szCs w:val="24"/>
        </w:rPr>
        <w:t xml:space="preserve"> rámc</w:t>
      </w:r>
      <w:r w:rsidR="009A2CF3">
        <w:rPr>
          <w:rFonts w:ascii="Arial" w:hAnsi="Arial" w:cs="Arial"/>
          <w:sz w:val="24"/>
          <w:szCs w:val="24"/>
        </w:rPr>
        <w:t>e</w:t>
      </w:r>
      <w:r w:rsidR="00885794" w:rsidRPr="008165ED">
        <w:rPr>
          <w:rFonts w:ascii="Arial" w:hAnsi="Arial" w:cs="Arial"/>
          <w:sz w:val="24"/>
          <w:szCs w:val="24"/>
        </w:rPr>
        <w:t xml:space="preserve"> pro celoživotní učení</w:t>
      </w:r>
      <w:r w:rsidR="009A2CF3">
        <w:rPr>
          <w:rFonts w:ascii="Arial" w:hAnsi="Arial" w:cs="Arial"/>
          <w:sz w:val="24"/>
          <w:szCs w:val="24"/>
        </w:rPr>
        <w:t xml:space="preserve"> a </w:t>
      </w:r>
      <w:r w:rsidR="00885794" w:rsidRPr="008165ED">
        <w:rPr>
          <w:rFonts w:ascii="Arial" w:hAnsi="Arial" w:cs="Arial"/>
          <w:sz w:val="24"/>
          <w:szCs w:val="24"/>
        </w:rPr>
        <w:t>podpor</w:t>
      </w:r>
      <w:r w:rsidR="009A2CF3">
        <w:rPr>
          <w:rFonts w:ascii="Arial" w:hAnsi="Arial" w:cs="Arial"/>
          <w:sz w:val="24"/>
          <w:szCs w:val="24"/>
        </w:rPr>
        <w:t>u</w:t>
      </w:r>
      <w:r w:rsidR="00885794" w:rsidRPr="008165ED">
        <w:rPr>
          <w:rFonts w:ascii="Arial" w:hAnsi="Arial" w:cs="Arial"/>
          <w:sz w:val="24"/>
          <w:szCs w:val="24"/>
        </w:rPr>
        <w:t xml:space="preserve"> bydlení seniorů.</w:t>
      </w:r>
      <w:r w:rsidR="00885794">
        <w:rPr>
          <w:rFonts w:ascii="Arial" w:hAnsi="Arial" w:cs="Arial"/>
          <w:sz w:val="24"/>
          <w:szCs w:val="24"/>
        </w:rPr>
        <w:t xml:space="preserve"> </w:t>
      </w:r>
    </w:p>
    <w:p w14:paraId="4F6C8F6A" w14:textId="1EF80AD0" w:rsidR="001B3B38" w:rsidRDefault="009A2CF3" w:rsidP="00916826">
      <w:pPr>
        <w:spacing w:line="360" w:lineRule="auto"/>
        <w:jc w:val="both"/>
        <w:rPr>
          <w:rFonts w:ascii="Arial" w:hAnsi="Arial" w:cs="Arial"/>
          <w:sz w:val="24"/>
          <w:szCs w:val="24"/>
        </w:rPr>
      </w:pPr>
      <w:r>
        <w:rPr>
          <w:rFonts w:ascii="Arial" w:hAnsi="Arial" w:cs="Arial"/>
          <w:sz w:val="24"/>
          <w:szCs w:val="24"/>
        </w:rPr>
        <w:t>Akční plán d</w:t>
      </w:r>
      <w:r w:rsidR="005D204F">
        <w:rPr>
          <w:rFonts w:ascii="Arial" w:hAnsi="Arial" w:cs="Arial"/>
          <w:sz w:val="24"/>
          <w:szCs w:val="24"/>
        </w:rPr>
        <w:t>ále</w:t>
      </w:r>
      <w:r w:rsidR="008912C5">
        <w:rPr>
          <w:rFonts w:ascii="Arial" w:hAnsi="Arial" w:cs="Arial"/>
          <w:sz w:val="24"/>
          <w:szCs w:val="24"/>
        </w:rPr>
        <w:t xml:space="preserve"> </w:t>
      </w:r>
      <w:r w:rsidR="005D204F">
        <w:rPr>
          <w:rFonts w:ascii="Arial" w:hAnsi="Arial" w:cs="Arial"/>
          <w:sz w:val="24"/>
          <w:szCs w:val="24"/>
        </w:rPr>
        <w:t>navazuje,</w:t>
      </w:r>
      <w:r w:rsidR="008912C5">
        <w:rPr>
          <w:rFonts w:ascii="Arial" w:hAnsi="Arial" w:cs="Arial"/>
          <w:sz w:val="24"/>
          <w:szCs w:val="24"/>
        </w:rPr>
        <w:t xml:space="preserve"> na </w:t>
      </w:r>
      <w:r w:rsidR="005D204F">
        <w:rPr>
          <w:rFonts w:ascii="Arial" w:hAnsi="Arial" w:cs="Arial"/>
          <w:sz w:val="24"/>
          <w:szCs w:val="24"/>
        </w:rPr>
        <w:t>již schválené</w:t>
      </w:r>
      <w:r w:rsidR="00AA7883">
        <w:rPr>
          <w:rFonts w:ascii="Arial" w:hAnsi="Arial" w:cs="Arial"/>
          <w:sz w:val="24"/>
          <w:szCs w:val="24"/>
        </w:rPr>
        <w:t xml:space="preserve"> </w:t>
      </w:r>
      <w:r w:rsidR="008912C5">
        <w:rPr>
          <w:rFonts w:ascii="Arial" w:hAnsi="Arial" w:cs="Arial"/>
          <w:sz w:val="24"/>
          <w:szCs w:val="24"/>
        </w:rPr>
        <w:t>národní koncepční a strategické dokumenty. Především se jedná o:</w:t>
      </w:r>
    </w:p>
    <w:p w14:paraId="48521C12" w14:textId="19FB980F" w:rsidR="008912C5" w:rsidRDefault="008912C5" w:rsidP="001D658C">
      <w:pPr>
        <w:pStyle w:val="Odstavecseseznamem"/>
        <w:numPr>
          <w:ilvl w:val="0"/>
          <w:numId w:val="3"/>
        </w:numPr>
        <w:spacing w:line="276" w:lineRule="auto"/>
        <w:jc w:val="both"/>
        <w:rPr>
          <w:rFonts w:ascii="Arial" w:hAnsi="Arial" w:cs="Arial"/>
          <w:sz w:val="24"/>
          <w:szCs w:val="24"/>
        </w:rPr>
      </w:pPr>
      <w:r w:rsidRPr="008912C5">
        <w:rPr>
          <w:rFonts w:ascii="Arial" w:hAnsi="Arial" w:cs="Arial"/>
          <w:sz w:val="24"/>
          <w:szCs w:val="24"/>
        </w:rPr>
        <w:t>Strategický rámec Česká republika 2030</w:t>
      </w:r>
      <w:r w:rsidR="006D470C">
        <w:rPr>
          <w:rStyle w:val="Odkaznavysvtlivky"/>
          <w:rFonts w:ascii="Arial" w:hAnsi="Arial"/>
          <w:sz w:val="24"/>
          <w:szCs w:val="24"/>
        </w:rPr>
        <w:endnoteReference w:id="14"/>
      </w:r>
      <w:r w:rsidR="00AA7883">
        <w:rPr>
          <w:rFonts w:ascii="Arial" w:hAnsi="Arial" w:cs="Arial"/>
          <w:sz w:val="24"/>
          <w:szCs w:val="24"/>
        </w:rPr>
        <w:t>,</w:t>
      </w:r>
    </w:p>
    <w:p w14:paraId="3C1CA92C" w14:textId="681F75EB" w:rsidR="00D5473E" w:rsidRDefault="00D5473E" w:rsidP="001D658C">
      <w:pPr>
        <w:pStyle w:val="Odstavecseseznamem"/>
        <w:numPr>
          <w:ilvl w:val="0"/>
          <w:numId w:val="3"/>
        </w:numPr>
        <w:spacing w:line="276" w:lineRule="auto"/>
        <w:rPr>
          <w:rFonts w:ascii="Arial" w:hAnsi="Arial" w:cs="Arial"/>
          <w:sz w:val="24"/>
          <w:szCs w:val="24"/>
        </w:rPr>
      </w:pPr>
      <w:r w:rsidRPr="00D5473E">
        <w:rPr>
          <w:rFonts w:ascii="Arial" w:hAnsi="Arial" w:cs="Arial"/>
          <w:sz w:val="24"/>
          <w:szCs w:val="24"/>
        </w:rPr>
        <w:t>Strategický rámec Zdraví 2030</w:t>
      </w:r>
      <w:r w:rsidR="006D470C">
        <w:rPr>
          <w:rStyle w:val="Odkaznavysvtlivky"/>
          <w:rFonts w:ascii="Arial" w:hAnsi="Arial"/>
          <w:sz w:val="24"/>
          <w:szCs w:val="24"/>
        </w:rPr>
        <w:endnoteReference w:id="15"/>
      </w:r>
      <w:r w:rsidR="00AA7883">
        <w:rPr>
          <w:rFonts w:ascii="Arial" w:hAnsi="Arial" w:cs="Arial"/>
          <w:sz w:val="24"/>
          <w:szCs w:val="24"/>
        </w:rPr>
        <w:t>,</w:t>
      </w:r>
    </w:p>
    <w:p w14:paraId="2318AE48" w14:textId="06127AC3" w:rsidR="0061779F" w:rsidRPr="00D5473E" w:rsidRDefault="0061779F" w:rsidP="001D658C">
      <w:pPr>
        <w:pStyle w:val="Odstavecseseznamem"/>
        <w:numPr>
          <w:ilvl w:val="0"/>
          <w:numId w:val="3"/>
        </w:numPr>
        <w:spacing w:line="276" w:lineRule="auto"/>
        <w:rPr>
          <w:rFonts w:ascii="Arial" w:hAnsi="Arial" w:cs="Arial"/>
          <w:sz w:val="24"/>
          <w:szCs w:val="24"/>
        </w:rPr>
      </w:pPr>
      <w:r>
        <w:rPr>
          <w:rFonts w:ascii="Arial" w:hAnsi="Arial" w:cs="Arial"/>
          <w:sz w:val="24"/>
          <w:szCs w:val="24"/>
        </w:rPr>
        <w:t>Strategii rodinné politiky 2023-2030</w:t>
      </w:r>
      <w:r w:rsidR="00EF6C20">
        <w:rPr>
          <w:rFonts w:ascii="Arial" w:hAnsi="Arial" w:cs="Arial"/>
          <w:sz w:val="24"/>
          <w:szCs w:val="24"/>
        </w:rPr>
        <w:t xml:space="preserve">, </w:t>
      </w:r>
    </w:p>
    <w:p w14:paraId="5A0BD991" w14:textId="2CC3A1B5" w:rsidR="008912C5" w:rsidRDefault="008912C5" w:rsidP="001D658C">
      <w:pPr>
        <w:pStyle w:val="Odstavecseseznamem"/>
        <w:numPr>
          <w:ilvl w:val="0"/>
          <w:numId w:val="3"/>
        </w:numPr>
        <w:spacing w:line="276" w:lineRule="auto"/>
        <w:jc w:val="both"/>
        <w:rPr>
          <w:rFonts w:ascii="Arial" w:hAnsi="Arial" w:cs="Arial"/>
          <w:sz w:val="24"/>
          <w:szCs w:val="24"/>
        </w:rPr>
      </w:pPr>
      <w:r w:rsidRPr="008912C5">
        <w:rPr>
          <w:rFonts w:ascii="Arial" w:hAnsi="Arial" w:cs="Arial"/>
          <w:sz w:val="24"/>
          <w:szCs w:val="24"/>
        </w:rPr>
        <w:t>Národní strategi</w:t>
      </w:r>
      <w:r>
        <w:rPr>
          <w:rFonts w:ascii="Arial" w:hAnsi="Arial" w:cs="Arial"/>
          <w:sz w:val="24"/>
          <w:szCs w:val="24"/>
        </w:rPr>
        <w:t>i</w:t>
      </w:r>
      <w:r w:rsidRPr="008912C5">
        <w:rPr>
          <w:rFonts w:ascii="Arial" w:hAnsi="Arial" w:cs="Arial"/>
          <w:sz w:val="24"/>
          <w:szCs w:val="24"/>
        </w:rPr>
        <w:t xml:space="preserve"> rozvoje sociálních služeb na období 2016–2025</w:t>
      </w:r>
      <w:r w:rsidR="006D470C">
        <w:rPr>
          <w:rStyle w:val="Odkaznavysvtlivky"/>
          <w:rFonts w:ascii="Arial" w:hAnsi="Arial"/>
          <w:sz w:val="24"/>
          <w:szCs w:val="24"/>
        </w:rPr>
        <w:endnoteReference w:id="16"/>
      </w:r>
      <w:r w:rsidR="00AA7883">
        <w:rPr>
          <w:rFonts w:ascii="Arial" w:hAnsi="Arial" w:cs="Arial"/>
          <w:sz w:val="24"/>
          <w:szCs w:val="24"/>
        </w:rPr>
        <w:t>,</w:t>
      </w:r>
    </w:p>
    <w:p w14:paraId="2C5F089A" w14:textId="2D5D30ED" w:rsidR="008912C5" w:rsidRPr="008912C5" w:rsidRDefault="008912C5" w:rsidP="001D658C">
      <w:pPr>
        <w:pStyle w:val="Odstavecseseznamem"/>
        <w:numPr>
          <w:ilvl w:val="0"/>
          <w:numId w:val="3"/>
        </w:numPr>
        <w:spacing w:line="276" w:lineRule="auto"/>
        <w:jc w:val="both"/>
        <w:rPr>
          <w:rFonts w:ascii="Arial" w:hAnsi="Arial" w:cs="Arial"/>
          <w:sz w:val="24"/>
          <w:szCs w:val="24"/>
        </w:rPr>
      </w:pPr>
      <w:r w:rsidRPr="008912C5">
        <w:rPr>
          <w:rFonts w:ascii="Arial" w:hAnsi="Arial" w:cs="Arial"/>
          <w:sz w:val="24"/>
          <w:szCs w:val="24"/>
        </w:rPr>
        <w:t>Koncepci bydlení ČR 2021+</w:t>
      </w:r>
      <w:r w:rsidR="006D470C">
        <w:rPr>
          <w:rStyle w:val="Odkaznavysvtlivky"/>
          <w:rFonts w:ascii="Arial" w:hAnsi="Arial"/>
          <w:sz w:val="24"/>
          <w:szCs w:val="24"/>
        </w:rPr>
        <w:endnoteReference w:id="17"/>
      </w:r>
      <w:r>
        <w:rPr>
          <w:rFonts w:ascii="Arial" w:hAnsi="Arial" w:cs="Arial"/>
          <w:sz w:val="24"/>
          <w:szCs w:val="24"/>
        </w:rPr>
        <w:t xml:space="preserve"> a </w:t>
      </w:r>
      <w:r w:rsidRPr="008912C5">
        <w:rPr>
          <w:rFonts w:ascii="Arial" w:hAnsi="Arial" w:cs="Arial"/>
          <w:sz w:val="24"/>
          <w:szCs w:val="24"/>
        </w:rPr>
        <w:t>Koncepc</w:t>
      </w:r>
      <w:r>
        <w:rPr>
          <w:rFonts w:ascii="Arial" w:hAnsi="Arial" w:cs="Arial"/>
          <w:sz w:val="24"/>
          <w:szCs w:val="24"/>
        </w:rPr>
        <w:t>i</w:t>
      </w:r>
      <w:r w:rsidRPr="008912C5">
        <w:rPr>
          <w:rFonts w:ascii="Arial" w:hAnsi="Arial" w:cs="Arial"/>
          <w:sz w:val="24"/>
          <w:szCs w:val="24"/>
        </w:rPr>
        <w:t xml:space="preserve"> sociálního bydlení ČR 2015–2025</w:t>
      </w:r>
      <w:r w:rsidR="006D470C">
        <w:rPr>
          <w:rStyle w:val="Odkaznavysvtlivky"/>
          <w:rFonts w:ascii="Arial" w:hAnsi="Arial"/>
          <w:sz w:val="24"/>
          <w:szCs w:val="24"/>
        </w:rPr>
        <w:endnoteReference w:id="18"/>
      </w:r>
      <w:r>
        <w:rPr>
          <w:rFonts w:ascii="Arial" w:hAnsi="Arial" w:cs="Arial"/>
          <w:sz w:val="24"/>
          <w:szCs w:val="24"/>
        </w:rPr>
        <w:t>,</w:t>
      </w:r>
    </w:p>
    <w:p w14:paraId="6C6ADF34" w14:textId="52D5DF66" w:rsidR="008912C5" w:rsidRDefault="008912C5" w:rsidP="001D658C">
      <w:pPr>
        <w:pStyle w:val="Odstavecseseznamem"/>
        <w:numPr>
          <w:ilvl w:val="0"/>
          <w:numId w:val="3"/>
        </w:numPr>
        <w:spacing w:line="276" w:lineRule="auto"/>
        <w:jc w:val="both"/>
        <w:rPr>
          <w:rFonts w:ascii="Arial" w:hAnsi="Arial" w:cs="Arial"/>
          <w:sz w:val="24"/>
          <w:szCs w:val="24"/>
        </w:rPr>
      </w:pPr>
      <w:r w:rsidRPr="008912C5">
        <w:rPr>
          <w:rFonts w:ascii="Arial" w:hAnsi="Arial" w:cs="Arial"/>
          <w:sz w:val="24"/>
          <w:szCs w:val="24"/>
        </w:rPr>
        <w:t>Strategii rovnosti žen a mužů na léta 2021–2030</w:t>
      </w:r>
      <w:r w:rsidR="006D470C">
        <w:rPr>
          <w:rStyle w:val="Odkaznavysvtlivky"/>
          <w:rFonts w:ascii="Arial" w:hAnsi="Arial"/>
          <w:sz w:val="24"/>
          <w:szCs w:val="24"/>
        </w:rPr>
        <w:endnoteReference w:id="19"/>
      </w:r>
      <w:r>
        <w:rPr>
          <w:rFonts w:ascii="Arial" w:hAnsi="Arial" w:cs="Arial"/>
          <w:sz w:val="24"/>
          <w:szCs w:val="24"/>
        </w:rPr>
        <w:t xml:space="preserve"> </w:t>
      </w:r>
      <w:r w:rsidRPr="008912C5">
        <w:rPr>
          <w:rFonts w:ascii="Arial" w:hAnsi="Arial" w:cs="Arial"/>
          <w:sz w:val="24"/>
          <w:szCs w:val="24"/>
        </w:rPr>
        <w:t>a navazující Akční plán prevence domácího a genderově podmíněného násilí</w:t>
      </w:r>
      <w:r w:rsidR="006D470C">
        <w:rPr>
          <w:rStyle w:val="Odkaznavysvtlivky"/>
          <w:rFonts w:ascii="Arial" w:hAnsi="Arial"/>
          <w:sz w:val="24"/>
          <w:szCs w:val="24"/>
        </w:rPr>
        <w:endnoteReference w:id="20"/>
      </w:r>
      <w:r w:rsidR="006D470C">
        <w:rPr>
          <w:rFonts w:ascii="Arial" w:hAnsi="Arial" w:cs="Arial"/>
          <w:sz w:val="24"/>
          <w:szCs w:val="24"/>
        </w:rPr>
        <w:t>,</w:t>
      </w:r>
    </w:p>
    <w:p w14:paraId="7DA96625" w14:textId="36CE88A6" w:rsidR="00215199" w:rsidRPr="00776D37" w:rsidRDefault="0061779F" w:rsidP="001D658C">
      <w:pPr>
        <w:pStyle w:val="Odstavecseseznamem"/>
        <w:numPr>
          <w:ilvl w:val="0"/>
          <w:numId w:val="3"/>
        </w:numPr>
        <w:spacing w:line="276" w:lineRule="auto"/>
        <w:jc w:val="both"/>
        <w:rPr>
          <w:rFonts w:ascii="Arial" w:hAnsi="Arial" w:cs="Arial"/>
          <w:sz w:val="24"/>
          <w:szCs w:val="24"/>
        </w:rPr>
      </w:pPr>
      <w:r w:rsidRPr="0061779F">
        <w:rPr>
          <w:rFonts w:ascii="Arial" w:hAnsi="Arial" w:cs="Arial"/>
          <w:sz w:val="24"/>
          <w:szCs w:val="24"/>
        </w:rPr>
        <w:t>Strategický rámec politiky zaměstnanosti do roku 2030</w:t>
      </w:r>
      <w:r w:rsidR="006D470C">
        <w:rPr>
          <w:rStyle w:val="Odkaznavysvtlivky"/>
          <w:rFonts w:ascii="Arial" w:hAnsi="Arial"/>
          <w:sz w:val="24"/>
          <w:szCs w:val="24"/>
        </w:rPr>
        <w:endnoteReference w:id="21"/>
      </w:r>
      <w:r w:rsidR="005D204F" w:rsidRPr="0061779F">
        <w:rPr>
          <w:rFonts w:ascii="Arial" w:hAnsi="Arial" w:cs="Arial"/>
          <w:sz w:val="24"/>
          <w:szCs w:val="24"/>
        </w:rPr>
        <w:t>.</w:t>
      </w:r>
      <w:bookmarkStart w:id="6" w:name="_Hlk114222142"/>
    </w:p>
    <w:p w14:paraId="39FECE9B" w14:textId="77777777" w:rsidR="00215199" w:rsidRDefault="00215199" w:rsidP="00215199">
      <w:pPr>
        <w:spacing w:line="360" w:lineRule="auto"/>
        <w:jc w:val="both"/>
        <w:rPr>
          <w:rFonts w:ascii="Arial" w:hAnsi="Arial" w:cs="Arial"/>
          <w:sz w:val="24"/>
          <w:szCs w:val="24"/>
        </w:rPr>
      </w:pPr>
      <w:r w:rsidRPr="0061779F">
        <w:rPr>
          <w:rFonts w:ascii="Arial" w:hAnsi="Arial" w:cs="Arial"/>
          <w:sz w:val="24"/>
          <w:szCs w:val="24"/>
        </w:rPr>
        <w:t>Ministerstvo práce a sociálních věcí</w:t>
      </w:r>
      <w:r>
        <w:rPr>
          <w:rFonts w:ascii="Arial" w:hAnsi="Arial" w:cs="Arial"/>
          <w:sz w:val="24"/>
          <w:szCs w:val="24"/>
        </w:rPr>
        <w:t xml:space="preserve"> (dále „MPSV“)</w:t>
      </w:r>
      <w:r w:rsidRPr="0061779F">
        <w:rPr>
          <w:rFonts w:ascii="Arial" w:hAnsi="Arial" w:cs="Arial"/>
          <w:sz w:val="24"/>
          <w:szCs w:val="24"/>
        </w:rPr>
        <w:t xml:space="preserve"> je koordinátorem politiky přípravy na stárnutí v České republice</w:t>
      </w:r>
      <w:r>
        <w:rPr>
          <w:rFonts w:ascii="Arial" w:hAnsi="Arial" w:cs="Arial"/>
          <w:sz w:val="24"/>
          <w:szCs w:val="24"/>
        </w:rPr>
        <w:t xml:space="preserve"> – tzn., že MPSV koordinuje a propojuje </w:t>
      </w:r>
      <w:r w:rsidRPr="0061779F">
        <w:rPr>
          <w:rFonts w:ascii="Arial" w:hAnsi="Arial" w:cs="Arial"/>
          <w:sz w:val="24"/>
          <w:szCs w:val="24"/>
        </w:rPr>
        <w:t>jednotliv</w:t>
      </w:r>
      <w:r>
        <w:rPr>
          <w:rFonts w:ascii="Arial" w:hAnsi="Arial" w:cs="Arial"/>
          <w:sz w:val="24"/>
          <w:szCs w:val="24"/>
        </w:rPr>
        <w:t>é</w:t>
      </w:r>
      <w:r w:rsidRPr="0061779F">
        <w:rPr>
          <w:rFonts w:ascii="Arial" w:hAnsi="Arial" w:cs="Arial"/>
          <w:sz w:val="24"/>
          <w:szCs w:val="24"/>
        </w:rPr>
        <w:t xml:space="preserve"> strategi</w:t>
      </w:r>
      <w:r>
        <w:rPr>
          <w:rFonts w:ascii="Arial" w:hAnsi="Arial" w:cs="Arial"/>
          <w:sz w:val="24"/>
          <w:szCs w:val="24"/>
        </w:rPr>
        <w:t>e</w:t>
      </w:r>
      <w:r w:rsidRPr="0061779F">
        <w:rPr>
          <w:rFonts w:ascii="Arial" w:hAnsi="Arial" w:cs="Arial"/>
          <w:sz w:val="24"/>
          <w:szCs w:val="24"/>
        </w:rPr>
        <w:t xml:space="preserve"> resortů v oblasti přístupů ke stárnutí a </w:t>
      </w:r>
      <w:r>
        <w:rPr>
          <w:rFonts w:ascii="Arial" w:hAnsi="Arial" w:cs="Arial"/>
          <w:sz w:val="24"/>
          <w:szCs w:val="24"/>
        </w:rPr>
        <w:t>akcentuje průřezové</w:t>
      </w:r>
      <w:r w:rsidRPr="0061779F">
        <w:rPr>
          <w:rFonts w:ascii="Arial" w:hAnsi="Arial" w:cs="Arial"/>
          <w:sz w:val="24"/>
          <w:szCs w:val="24"/>
        </w:rPr>
        <w:t xml:space="preserve"> priorit</w:t>
      </w:r>
      <w:r>
        <w:rPr>
          <w:rFonts w:ascii="Arial" w:hAnsi="Arial" w:cs="Arial"/>
          <w:sz w:val="24"/>
          <w:szCs w:val="24"/>
        </w:rPr>
        <w:t xml:space="preserve">y </w:t>
      </w:r>
      <w:r>
        <w:rPr>
          <w:rFonts w:ascii="Arial" w:hAnsi="Arial" w:cs="Arial"/>
          <w:sz w:val="24"/>
          <w:szCs w:val="24"/>
        </w:rPr>
        <w:lastRenderedPageBreak/>
        <w:t>v seniorské politice. V minulosti se na přípravu na stárnutí zaměřovaly následující dokumenty:</w:t>
      </w:r>
    </w:p>
    <w:p w14:paraId="7F48E965" w14:textId="77777777" w:rsidR="00215199" w:rsidRDefault="00215199" w:rsidP="001D658C">
      <w:pPr>
        <w:pStyle w:val="Odstavecseseznamem"/>
        <w:numPr>
          <w:ilvl w:val="0"/>
          <w:numId w:val="5"/>
        </w:numPr>
        <w:spacing w:line="360" w:lineRule="auto"/>
        <w:jc w:val="both"/>
        <w:rPr>
          <w:rFonts w:ascii="Arial" w:hAnsi="Arial" w:cs="Arial"/>
          <w:sz w:val="24"/>
          <w:szCs w:val="24"/>
        </w:rPr>
      </w:pPr>
      <w:r w:rsidRPr="00CF24E1">
        <w:rPr>
          <w:rFonts w:ascii="Arial" w:hAnsi="Arial" w:cs="Arial"/>
          <w:sz w:val="24"/>
          <w:szCs w:val="24"/>
        </w:rPr>
        <w:t>Národní program přípravy na stárnutí na období let 2003 až 2007</w:t>
      </w:r>
      <w:r>
        <w:rPr>
          <w:rStyle w:val="Odkaznavysvtlivky"/>
          <w:rFonts w:ascii="Arial" w:hAnsi="Arial"/>
          <w:sz w:val="24"/>
          <w:szCs w:val="24"/>
        </w:rPr>
        <w:endnoteReference w:id="22"/>
      </w:r>
    </w:p>
    <w:p w14:paraId="1E065A8C" w14:textId="77777777" w:rsidR="00776D37" w:rsidRDefault="00215199" w:rsidP="001D658C">
      <w:pPr>
        <w:pStyle w:val="Odstavecseseznamem"/>
        <w:numPr>
          <w:ilvl w:val="0"/>
          <w:numId w:val="5"/>
        </w:numPr>
        <w:spacing w:line="360" w:lineRule="auto"/>
        <w:jc w:val="both"/>
        <w:rPr>
          <w:rFonts w:ascii="Arial" w:hAnsi="Arial" w:cs="Arial"/>
          <w:sz w:val="24"/>
          <w:szCs w:val="24"/>
        </w:rPr>
      </w:pPr>
      <w:r w:rsidRPr="0061779F">
        <w:rPr>
          <w:rFonts w:ascii="Arial" w:hAnsi="Arial" w:cs="Arial"/>
          <w:sz w:val="24"/>
          <w:szCs w:val="24"/>
        </w:rPr>
        <w:t>Národní program přípravy na stárnutí na období let 2008 až 2012</w:t>
      </w:r>
      <w:r>
        <w:rPr>
          <w:rStyle w:val="Odkaznavysvtlivky"/>
          <w:rFonts w:ascii="Arial" w:hAnsi="Arial"/>
          <w:sz w:val="24"/>
          <w:szCs w:val="24"/>
        </w:rPr>
        <w:endnoteReference w:id="23"/>
      </w:r>
    </w:p>
    <w:p w14:paraId="04408918" w14:textId="77777777" w:rsidR="00571B5E" w:rsidRDefault="00215199" w:rsidP="001D658C">
      <w:pPr>
        <w:pStyle w:val="Odstavecseseznamem"/>
        <w:numPr>
          <w:ilvl w:val="0"/>
          <w:numId w:val="5"/>
        </w:numPr>
        <w:spacing w:line="360" w:lineRule="auto"/>
        <w:jc w:val="both"/>
        <w:rPr>
          <w:rFonts w:ascii="Arial" w:hAnsi="Arial" w:cs="Arial"/>
          <w:sz w:val="24"/>
          <w:szCs w:val="24"/>
        </w:rPr>
      </w:pPr>
      <w:r w:rsidRPr="00776D37">
        <w:rPr>
          <w:rFonts w:ascii="Arial" w:hAnsi="Arial" w:cs="Arial"/>
          <w:sz w:val="24"/>
          <w:szCs w:val="24"/>
        </w:rPr>
        <w:t>Národní akční plán podporující pozitivní stárnutí na léta 2013 až 2017</w:t>
      </w:r>
      <w:r w:rsidRPr="00776D37">
        <w:rPr>
          <w:vertAlign w:val="superscript"/>
        </w:rPr>
        <w:endnoteReference w:id="24"/>
      </w:r>
      <w:r w:rsidRPr="00776D37">
        <w:rPr>
          <w:rFonts w:ascii="Arial" w:hAnsi="Arial" w:cs="Arial"/>
          <w:sz w:val="24"/>
          <w:szCs w:val="24"/>
        </w:rPr>
        <w:t>.</w:t>
      </w:r>
    </w:p>
    <w:p w14:paraId="1CFE3C1C" w14:textId="03EC8E6D" w:rsidR="00215BBE" w:rsidRDefault="00215BBE" w:rsidP="00F002C1">
      <w:pPr>
        <w:spacing w:after="160" w:line="259" w:lineRule="auto"/>
        <w:rPr>
          <w:rFonts w:ascii="Arial" w:hAnsi="Arial" w:cs="Arial"/>
          <w:sz w:val="24"/>
        </w:rPr>
      </w:pPr>
    </w:p>
    <w:p w14:paraId="19DFE25F" w14:textId="3574CEE9" w:rsidR="005D4996" w:rsidRDefault="008D6DD3" w:rsidP="00F002C1">
      <w:pPr>
        <w:pStyle w:val="Nadpis1"/>
        <w:pBdr>
          <w:bottom w:val="single" w:sz="4" w:space="1" w:color="auto"/>
        </w:pBdr>
        <w:spacing w:after="200"/>
      </w:pPr>
      <w:bookmarkStart w:id="7" w:name="_Toc102641989"/>
      <w:bookmarkStart w:id="8" w:name="_Toc137819478"/>
      <w:bookmarkEnd w:id="3"/>
      <w:bookmarkEnd w:id="6"/>
      <w:r>
        <w:t>4</w:t>
      </w:r>
      <w:r w:rsidR="003C0D6A">
        <w:t xml:space="preserve">. </w:t>
      </w:r>
      <w:r w:rsidR="00A672B8">
        <w:t xml:space="preserve">Shrnutí základních dat </w:t>
      </w:r>
      <w:r w:rsidR="00426A7F">
        <w:t xml:space="preserve">a nových skutečností </w:t>
      </w:r>
      <w:r w:rsidR="00A672B8">
        <w:t>o ČR</w:t>
      </w:r>
      <w:bookmarkEnd w:id="7"/>
      <w:bookmarkEnd w:id="8"/>
      <w:r w:rsidR="005D4996" w:rsidRPr="00C335C8">
        <w:t xml:space="preserve">  </w:t>
      </w:r>
    </w:p>
    <w:p w14:paraId="519FA660" w14:textId="77777777" w:rsidR="00B43AFB" w:rsidRPr="00B43AFB" w:rsidRDefault="00B43AFB" w:rsidP="00B43AFB">
      <w:pPr>
        <w:rPr>
          <w:sz w:val="10"/>
          <w:szCs w:val="10"/>
        </w:rPr>
      </w:pPr>
      <w:bookmarkStart w:id="9" w:name="_Toc102641990"/>
    </w:p>
    <w:p w14:paraId="3CFC0BC9" w14:textId="18CED3CA" w:rsidR="005D4996" w:rsidRPr="0060793E" w:rsidRDefault="005D4996" w:rsidP="0094684B">
      <w:pPr>
        <w:pStyle w:val="Nadpis2"/>
        <w:spacing w:before="120" w:after="120"/>
      </w:pPr>
      <w:bookmarkStart w:id="10" w:name="_Toc137819479"/>
      <w:r w:rsidRPr="002D3BCE">
        <w:t>A Demografické změny v České republice</w:t>
      </w:r>
      <w:bookmarkEnd w:id="9"/>
      <w:bookmarkEnd w:id="10"/>
      <w:r>
        <w:t xml:space="preserve"> </w:t>
      </w:r>
      <w:r w:rsidRPr="0060793E">
        <w:t xml:space="preserve"> </w:t>
      </w:r>
    </w:p>
    <w:p w14:paraId="2B0EA288" w14:textId="7A4598C2" w:rsidR="00D47E6A" w:rsidRDefault="00D47E6A" w:rsidP="00D47E6A">
      <w:pPr>
        <w:spacing w:after="120" w:line="360" w:lineRule="auto"/>
        <w:jc w:val="both"/>
        <w:rPr>
          <w:rFonts w:ascii="Arial" w:hAnsi="Arial" w:cs="Arial"/>
          <w:sz w:val="24"/>
        </w:rPr>
      </w:pPr>
      <w:r w:rsidRPr="00CC21A0">
        <w:rPr>
          <w:rFonts w:ascii="Arial" w:hAnsi="Arial" w:cs="Arial"/>
          <w:b/>
          <w:bCs/>
          <w:sz w:val="24"/>
        </w:rPr>
        <w:t xml:space="preserve">Počet </w:t>
      </w:r>
      <w:r w:rsidRPr="00CC21A0">
        <w:rPr>
          <w:rFonts w:ascii="Arial" w:hAnsi="Arial" w:cs="Arial"/>
          <w:b/>
          <w:bCs/>
          <w:sz w:val="24"/>
          <w:szCs w:val="24"/>
        </w:rPr>
        <w:t>obyvatel ČR</w:t>
      </w:r>
      <w:r w:rsidRPr="00CC21A0">
        <w:rPr>
          <w:rFonts w:ascii="Arial" w:hAnsi="Arial" w:cs="Arial"/>
          <w:sz w:val="24"/>
          <w:szCs w:val="24"/>
        </w:rPr>
        <w:t xml:space="preserve"> se v roce 20</w:t>
      </w:r>
      <w:r>
        <w:rPr>
          <w:rFonts w:ascii="Arial" w:hAnsi="Arial" w:cs="Arial"/>
          <w:sz w:val="24"/>
          <w:szCs w:val="24"/>
        </w:rPr>
        <w:t>22</w:t>
      </w:r>
      <w:r w:rsidRPr="00CC21A0">
        <w:rPr>
          <w:rFonts w:ascii="Arial" w:hAnsi="Arial" w:cs="Arial"/>
          <w:sz w:val="24"/>
          <w:szCs w:val="24"/>
        </w:rPr>
        <w:t xml:space="preserve"> zvýšil na 10,</w:t>
      </w:r>
      <w:r>
        <w:rPr>
          <w:rFonts w:ascii="Arial" w:hAnsi="Arial" w:cs="Arial"/>
          <w:sz w:val="24"/>
          <w:szCs w:val="24"/>
        </w:rPr>
        <w:t>5</w:t>
      </w:r>
      <w:r w:rsidRPr="00CC21A0">
        <w:rPr>
          <w:rFonts w:ascii="Arial" w:hAnsi="Arial" w:cs="Arial"/>
          <w:sz w:val="24"/>
          <w:szCs w:val="24"/>
        </w:rPr>
        <w:t xml:space="preserve"> milionů. </w:t>
      </w:r>
      <w:r>
        <w:rPr>
          <w:rFonts w:ascii="Arial" w:hAnsi="Arial" w:cs="Arial"/>
          <w:sz w:val="24"/>
        </w:rPr>
        <w:t>I přes téměř 17tisícový přírůstek obyvatel v České republice v roce 2022 se znatelně snížil počet nově narozených dětí</w:t>
      </w:r>
      <w:r w:rsidR="0068293A">
        <w:rPr>
          <w:rFonts w:ascii="Arial" w:hAnsi="Arial" w:cs="Arial"/>
          <w:sz w:val="24"/>
        </w:rPr>
        <w:t xml:space="preserve">. </w:t>
      </w:r>
      <w:r w:rsidR="0054673D">
        <w:rPr>
          <w:rFonts w:ascii="Arial" w:hAnsi="Arial" w:cs="Arial"/>
          <w:sz w:val="24"/>
        </w:rPr>
        <w:t>P</w:t>
      </w:r>
      <w:r w:rsidR="0054673D" w:rsidRPr="0054673D">
        <w:rPr>
          <w:rFonts w:ascii="Arial" w:hAnsi="Arial" w:cs="Arial"/>
          <w:sz w:val="24"/>
        </w:rPr>
        <w:t xml:space="preserve">o přechodném zvýšení porodnosti v roce 2021 se </w:t>
      </w:r>
      <w:r w:rsidR="002F74B5">
        <w:rPr>
          <w:rFonts w:ascii="Arial" w:hAnsi="Arial" w:cs="Arial"/>
          <w:sz w:val="24"/>
        </w:rPr>
        <w:t>v roce 2022</w:t>
      </w:r>
      <w:r w:rsidR="0054673D" w:rsidRPr="0054673D">
        <w:rPr>
          <w:rFonts w:ascii="Arial" w:hAnsi="Arial" w:cs="Arial"/>
          <w:sz w:val="24"/>
        </w:rPr>
        <w:t xml:space="preserve"> živě narodilo 99,8 tis</w:t>
      </w:r>
      <w:r w:rsidR="002F74B5">
        <w:rPr>
          <w:rFonts w:ascii="Arial" w:hAnsi="Arial" w:cs="Arial"/>
          <w:sz w:val="24"/>
        </w:rPr>
        <w:t>.</w:t>
      </w:r>
      <w:r w:rsidR="0054673D">
        <w:rPr>
          <w:rFonts w:ascii="Arial" w:hAnsi="Arial" w:cs="Arial"/>
          <w:sz w:val="24"/>
        </w:rPr>
        <w:t xml:space="preserve"> dětí, což je</w:t>
      </w:r>
      <w:r w:rsidR="0054673D" w:rsidRPr="0054673D">
        <w:rPr>
          <w:rFonts w:ascii="Arial" w:hAnsi="Arial" w:cs="Arial"/>
          <w:sz w:val="24"/>
        </w:rPr>
        <w:t xml:space="preserve"> meziročn</w:t>
      </w:r>
      <w:r w:rsidR="0054673D">
        <w:rPr>
          <w:rFonts w:ascii="Arial" w:hAnsi="Arial" w:cs="Arial"/>
          <w:sz w:val="24"/>
        </w:rPr>
        <w:t>í pokles</w:t>
      </w:r>
      <w:r w:rsidR="0054673D" w:rsidRPr="0054673D">
        <w:rPr>
          <w:rFonts w:ascii="Arial" w:hAnsi="Arial" w:cs="Arial"/>
          <w:sz w:val="24"/>
        </w:rPr>
        <w:t xml:space="preserve"> o 12 tis</w:t>
      </w:r>
      <w:r w:rsidR="0054673D">
        <w:rPr>
          <w:rFonts w:ascii="Arial" w:hAnsi="Arial" w:cs="Arial"/>
          <w:sz w:val="24"/>
        </w:rPr>
        <w:t>.</w:t>
      </w:r>
      <w:r w:rsidR="0054673D" w:rsidRPr="0054673D">
        <w:rPr>
          <w:rFonts w:ascii="Arial" w:hAnsi="Arial" w:cs="Arial"/>
          <w:sz w:val="24"/>
        </w:rPr>
        <w:t xml:space="preserve"> </w:t>
      </w:r>
      <w:r w:rsidR="0054673D" w:rsidRPr="0054673D">
        <w:rPr>
          <w:rFonts w:ascii="Arial" w:hAnsi="Arial" w:cs="Arial"/>
          <w:b/>
          <w:bCs/>
          <w:sz w:val="24"/>
        </w:rPr>
        <w:t>Úbytek narozených</w:t>
      </w:r>
      <w:r w:rsidR="0054673D" w:rsidRPr="0054673D">
        <w:rPr>
          <w:rFonts w:ascii="Arial" w:hAnsi="Arial" w:cs="Arial"/>
          <w:sz w:val="24"/>
        </w:rPr>
        <w:t xml:space="preserve"> byl zaznamenáván i v letech 2018 až 2020 a částečně souvisí se změnami věkového složení žen reprodukčního věku. V</w:t>
      </w:r>
      <w:r w:rsidR="0054673D">
        <w:rPr>
          <w:rFonts w:ascii="Arial" w:hAnsi="Arial" w:cs="Arial"/>
          <w:sz w:val="24"/>
        </w:rPr>
        <w:t> </w:t>
      </w:r>
      <w:r w:rsidR="0054673D" w:rsidRPr="0054673D">
        <w:rPr>
          <w:rFonts w:ascii="Arial" w:hAnsi="Arial" w:cs="Arial"/>
          <w:sz w:val="24"/>
        </w:rPr>
        <w:t>roce 2022 navíc klesl i průměrný počet dětí narozených jedné ženě, meziročně z 1,83 na 1,66</w:t>
      </w:r>
      <w:r w:rsidR="0054673D">
        <w:rPr>
          <w:rFonts w:ascii="Arial" w:hAnsi="Arial" w:cs="Arial"/>
          <w:sz w:val="24"/>
        </w:rPr>
        <w:t>.</w:t>
      </w:r>
      <w:r>
        <w:rPr>
          <w:rStyle w:val="Odkaznavysvtlivky"/>
          <w:rFonts w:ascii="Arial" w:hAnsi="Arial"/>
          <w:sz w:val="24"/>
        </w:rPr>
        <w:endnoteReference w:id="25"/>
      </w:r>
      <w:r w:rsidRPr="00AA1312">
        <w:rPr>
          <w:rStyle w:val="ZpatChar"/>
          <w:rFonts w:ascii="Arial" w:hAnsi="Arial" w:cs="Arial"/>
          <w:sz w:val="24"/>
        </w:rPr>
        <w:t xml:space="preserve"> </w:t>
      </w:r>
      <w:r>
        <w:rPr>
          <w:rFonts w:ascii="Arial" w:hAnsi="Arial" w:cs="Arial"/>
          <w:sz w:val="24"/>
        </w:rPr>
        <w:t xml:space="preserve">Úmrtnost v České republice se navrátila ke stavu před pandemií Covid-19 a </w:t>
      </w:r>
      <w:r>
        <w:rPr>
          <w:rFonts w:ascii="Arial" w:hAnsi="Arial" w:cs="Arial"/>
          <w:b/>
          <w:bCs/>
          <w:sz w:val="24"/>
        </w:rPr>
        <w:t>n</w:t>
      </w:r>
      <w:r w:rsidRPr="00CC21A0">
        <w:rPr>
          <w:rFonts w:ascii="Arial" w:hAnsi="Arial" w:cs="Arial"/>
          <w:b/>
          <w:bCs/>
          <w:sz w:val="24"/>
        </w:rPr>
        <w:t>aděje dožití při narození</w:t>
      </w:r>
      <w:r w:rsidRPr="00CC21A0">
        <w:rPr>
          <w:rFonts w:ascii="Arial" w:hAnsi="Arial" w:cs="Arial"/>
          <w:sz w:val="24"/>
        </w:rPr>
        <w:t xml:space="preserve"> se u žen</w:t>
      </w:r>
      <w:r>
        <w:rPr>
          <w:rFonts w:ascii="Arial" w:hAnsi="Arial" w:cs="Arial"/>
          <w:sz w:val="24"/>
        </w:rPr>
        <w:t xml:space="preserve"> i</w:t>
      </w:r>
      <w:r w:rsidR="00683992">
        <w:rPr>
          <w:rFonts w:ascii="Arial" w:hAnsi="Arial" w:cs="Arial"/>
          <w:sz w:val="24"/>
        </w:rPr>
        <w:t> </w:t>
      </w:r>
      <w:r>
        <w:rPr>
          <w:rFonts w:ascii="Arial" w:hAnsi="Arial" w:cs="Arial"/>
          <w:sz w:val="24"/>
        </w:rPr>
        <w:t xml:space="preserve">mužů se za rok 2022 výrazně nezměnila. U žen </w:t>
      </w:r>
      <w:r w:rsidR="0054673D">
        <w:rPr>
          <w:rFonts w:ascii="Arial" w:hAnsi="Arial" w:cs="Arial"/>
          <w:sz w:val="24"/>
        </w:rPr>
        <w:t>činí</w:t>
      </w:r>
      <w:r w:rsidRPr="00CC21A0">
        <w:rPr>
          <w:rFonts w:ascii="Arial" w:hAnsi="Arial" w:cs="Arial"/>
          <w:sz w:val="24"/>
        </w:rPr>
        <w:t xml:space="preserve"> 82,</w:t>
      </w:r>
      <w:r>
        <w:rPr>
          <w:rFonts w:ascii="Arial" w:hAnsi="Arial" w:cs="Arial"/>
          <w:sz w:val="24"/>
        </w:rPr>
        <w:t>0</w:t>
      </w:r>
      <w:r w:rsidRPr="00CC21A0">
        <w:rPr>
          <w:rFonts w:ascii="Arial" w:hAnsi="Arial" w:cs="Arial"/>
          <w:sz w:val="24"/>
        </w:rPr>
        <w:t xml:space="preserve"> let</w:t>
      </w:r>
      <w:r>
        <w:rPr>
          <w:rFonts w:ascii="Arial" w:hAnsi="Arial" w:cs="Arial"/>
          <w:sz w:val="24"/>
        </w:rPr>
        <w:t xml:space="preserve">, zatímco u mužů </w:t>
      </w:r>
      <w:r w:rsidRPr="00CC21A0">
        <w:rPr>
          <w:rFonts w:ascii="Arial" w:hAnsi="Arial" w:cs="Arial"/>
          <w:sz w:val="24"/>
        </w:rPr>
        <w:t>76,</w:t>
      </w:r>
      <w:r>
        <w:rPr>
          <w:rFonts w:ascii="Arial" w:hAnsi="Arial" w:cs="Arial"/>
          <w:sz w:val="24"/>
        </w:rPr>
        <w:t>1</w:t>
      </w:r>
      <w:r w:rsidRPr="00CC21A0">
        <w:rPr>
          <w:rFonts w:ascii="Arial" w:hAnsi="Arial" w:cs="Arial"/>
          <w:sz w:val="24"/>
        </w:rPr>
        <w:t xml:space="preserve"> let</w:t>
      </w:r>
      <w:r w:rsidR="0054673D">
        <w:rPr>
          <w:rFonts w:ascii="Arial" w:hAnsi="Arial" w:cs="Arial"/>
          <w:sz w:val="24"/>
        </w:rPr>
        <w:t xml:space="preserve"> (viz graf níže)</w:t>
      </w:r>
      <w:r w:rsidRPr="00CC21A0">
        <w:rPr>
          <w:rFonts w:ascii="Arial" w:hAnsi="Arial" w:cs="Arial"/>
          <w:sz w:val="24"/>
        </w:rPr>
        <w:t>.</w:t>
      </w:r>
      <w:r>
        <w:rPr>
          <w:rStyle w:val="Odkaznavysvtlivky"/>
          <w:rFonts w:ascii="Arial" w:hAnsi="Arial"/>
          <w:sz w:val="24"/>
        </w:rPr>
        <w:endnoteReference w:id="26"/>
      </w:r>
      <w:r w:rsidRPr="00CC21A0">
        <w:rPr>
          <w:rFonts w:ascii="Arial" w:hAnsi="Arial" w:cs="Arial"/>
          <w:sz w:val="24"/>
        </w:rPr>
        <w:t xml:space="preserve"> </w:t>
      </w:r>
    </w:p>
    <w:p w14:paraId="7F84DCF0" w14:textId="177A2495" w:rsidR="0068293A" w:rsidRDefault="0068293A" w:rsidP="0068293A">
      <w:pPr>
        <w:pStyle w:val="Titulek"/>
      </w:pPr>
      <w:r w:rsidRPr="0060793E">
        <w:t xml:space="preserve">Graf č. </w:t>
      </w:r>
      <w:r>
        <w:rPr>
          <w:noProof/>
        </w:rPr>
        <w:fldChar w:fldCharType="begin"/>
      </w:r>
      <w:r>
        <w:rPr>
          <w:noProof/>
        </w:rPr>
        <w:instrText xml:space="preserve"> SEQ Graf_č. \* ARABIC </w:instrText>
      </w:r>
      <w:r>
        <w:rPr>
          <w:noProof/>
        </w:rPr>
        <w:fldChar w:fldCharType="separate"/>
      </w:r>
      <w:r>
        <w:rPr>
          <w:noProof/>
        </w:rPr>
        <w:t>1</w:t>
      </w:r>
      <w:r>
        <w:rPr>
          <w:noProof/>
        </w:rPr>
        <w:fldChar w:fldCharType="end"/>
      </w:r>
      <w:r w:rsidRPr="0060793E">
        <w:t>: Naděje dožití při narození mužů a žen v ČR (199</w:t>
      </w:r>
      <w:r>
        <w:t>2</w:t>
      </w:r>
      <w:r w:rsidRPr="0060793E">
        <w:t>–20</w:t>
      </w:r>
      <w:r>
        <w:t>22)</w:t>
      </w:r>
    </w:p>
    <w:p w14:paraId="43DA336F" w14:textId="77777777" w:rsidR="0068293A" w:rsidRPr="0068293A" w:rsidRDefault="0068293A" w:rsidP="0068293A">
      <w:pPr>
        <w:rPr>
          <w:sz w:val="10"/>
          <w:szCs w:val="10"/>
        </w:rPr>
      </w:pPr>
    </w:p>
    <w:p w14:paraId="33C64ACF" w14:textId="464C0EC5" w:rsidR="0068293A" w:rsidRDefault="0068293A" w:rsidP="00D47E6A">
      <w:pPr>
        <w:spacing w:after="120" w:line="360" w:lineRule="auto"/>
        <w:jc w:val="both"/>
        <w:rPr>
          <w:rFonts w:ascii="Arial" w:hAnsi="Arial" w:cs="Arial"/>
          <w:sz w:val="24"/>
        </w:rPr>
      </w:pPr>
      <w:r>
        <w:rPr>
          <w:noProof/>
        </w:rPr>
        <w:drawing>
          <wp:inline distT="0" distB="0" distL="0" distR="0" wp14:anchorId="1C770C0B" wp14:editId="1E15BF4A">
            <wp:extent cx="5438775" cy="248602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33D0C3" w14:textId="33DF58BB" w:rsidR="0068293A" w:rsidRPr="0068293A" w:rsidRDefault="0068293A" w:rsidP="0068293A">
      <w:pPr>
        <w:spacing w:after="120" w:line="360" w:lineRule="auto"/>
        <w:jc w:val="right"/>
        <w:rPr>
          <w:rFonts w:ascii="Arial" w:hAnsi="Arial" w:cs="Arial"/>
          <w:sz w:val="18"/>
          <w:szCs w:val="16"/>
        </w:rPr>
      </w:pPr>
      <w:r w:rsidRPr="0068293A">
        <w:rPr>
          <w:rFonts w:ascii="Arial" w:hAnsi="Arial" w:cs="Arial"/>
          <w:sz w:val="18"/>
          <w:szCs w:val="16"/>
        </w:rPr>
        <w:lastRenderedPageBreak/>
        <w:t xml:space="preserve">Zdroj: ČSÚ. </w:t>
      </w:r>
    </w:p>
    <w:p w14:paraId="49F367CC" w14:textId="01B2C166" w:rsidR="00EF6C20" w:rsidRDefault="00D47E6A" w:rsidP="00D47E6A">
      <w:pPr>
        <w:spacing w:after="120" w:line="360" w:lineRule="auto"/>
        <w:jc w:val="both"/>
        <w:rPr>
          <w:rFonts w:ascii="Arial" w:hAnsi="Arial" w:cs="Arial"/>
          <w:sz w:val="24"/>
        </w:rPr>
      </w:pPr>
      <w:r>
        <w:rPr>
          <w:rFonts w:ascii="Arial" w:hAnsi="Arial" w:cs="Arial"/>
          <w:sz w:val="24"/>
        </w:rPr>
        <w:t xml:space="preserve">Dlouhodobě roste podíl seniorů. </w:t>
      </w:r>
      <w:r w:rsidR="00072300">
        <w:rPr>
          <w:rFonts w:ascii="Arial" w:hAnsi="Arial" w:cs="Arial"/>
          <w:sz w:val="24"/>
        </w:rPr>
        <w:t>Koncem roku</w:t>
      </w:r>
      <w:r>
        <w:rPr>
          <w:rFonts w:ascii="Arial" w:hAnsi="Arial" w:cs="Arial"/>
          <w:sz w:val="24"/>
        </w:rPr>
        <w:t xml:space="preserve"> 2021 tvořila </w:t>
      </w:r>
      <w:r w:rsidRPr="008730A9">
        <w:rPr>
          <w:rFonts w:ascii="Arial" w:hAnsi="Arial" w:cs="Arial"/>
          <w:b/>
          <w:bCs/>
          <w:sz w:val="24"/>
        </w:rPr>
        <w:t>věková kategorie 65+</w:t>
      </w:r>
      <w:r>
        <w:rPr>
          <w:rFonts w:ascii="Arial" w:hAnsi="Arial" w:cs="Arial"/>
          <w:sz w:val="24"/>
        </w:rPr>
        <w:t xml:space="preserve"> přes 20 % podílu obyvatel v České republice</w:t>
      </w:r>
      <w:r w:rsidRPr="00CC21A0">
        <w:rPr>
          <w:rFonts w:ascii="Arial" w:hAnsi="Arial" w:cs="Arial"/>
          <w:sz w:val="24"/>
          <w:szCs w:val="24"/>
        </w:rPr>
        <w:t>.</w:t>
      </w:r>
      <w:r>
        <w:rPr>
          <w:rStyle w:val="Odkaznavysvtlivky"/>
          <w:rFonts w:ascii="Arial" w:hAnsi="Arial"/>
          <w:sz w:val="24"/>
        </w:rPr>
        <w:endnoteReference w:id="27"/>
      </w:r>
      <w:r w:rsidRPr="00CC21A0">
        <w:rPr>
          <w:rFonts w:ascii="Arial" w:hAnsi="Arial" w:cs="Arial"/>
          <w:sz w:val="24"/>
          <w:szCs w:val="24"/>
        </w:rPr>
        <w:t xml:space="preserve"> </w:t>
      </w:r>
      <w:r>
        <w:rPr>
          <w:rFonts w:ascii="Arial" w:hAnsi="Arial" w:cs="Arial"/>
          <w:sz w:val="24"/>
          <w:szCs w:val="24"/>
        </w:rPr>
        <w:t>Z toho</w:t>
      </w:r>
      <w:r w:rsidRPr="00CC21A0">
        <w:rPr>
          <w:rFonts w:ascii="Arial" w:hAnsi="Arial" w:cs="Arial"/>
          <w:sz w:val="24"/>
        </w:rPr>
        <w:t xml:space="preserve"> </w:t>
      </w:r>
      <w:r w:rsidRPr="00CC21A0">
        <w:rPr>
          <w:rFonts w:ascii="Arial" w:hAnsi="Arial" w:cs="Arial"/>
          <w:b/>
          <w:bCs/>
          <w:sz w:val="24"/>
        </w:rPr>
        <w:t>věkov</w:t>
      </w:r>
      <w:r>
        <w:rPr>
          <w:rFonts w:ascii="Arial" w:hAnsi="Arial" w:cs="Arial"/>
          <w:b/>
          <w:bCs/>
          <w:sz w:val="24"/>
        </w:rPr>
        <w:t>á</w:t>
      </w:r>
      <w:r w:rsidRPr="00CC21A0">
        <w:rPr>
          <w:rFonts w:ascii="Arial" w:hAnsi="Arial" w:cs="Arial"/>
          <w:b/>
          <w:bCs/>
          <w:sz w:val="24"/>
        </w:rPr>
        <w:t xml:space="preserve"> kategorie 80+</w:t>
      </w:r>
      <w:r>
        <w:rPr>
          <w:rFonts w:ascii="Arial" w:hAnsi="Arial" w:cs="Arial"/>
          <w:sz w:val="24"/>
        </w:rPr>
        <w:t xml:space="preserve"> představuje necelých 21</w:t>
      </w:r>
      <w:r w:rsidRPr="00CC21A0">
        <w:rPr>
          <w:rFonts w:ascii="Arial" w:hAnsi="Arial" w:cs="Arial"/>
          <w:sz w:val="24"/>
        </w:rPr>
        <w:t xml:space="preserve"> %</w:t>
      </w:r>
      <w:r>
        <w:rPr>
          <w:rFonts w:ascii="Arial" w:hAnsi="Arial" w:cs="Arial"/>
          <w:sz w:val="24"/>
        </w:rPr>
        <w:t xml:space="preserve"> počtu osob ve věku 65+</w:t>
      </w:r>
      <w:r w:rsidRPr="00CC21A0">
        <w:rPr>
          <w:rFonts w:ascii="Arial" w:hAnsi="Arial" w:cs="Arial"/>
          <w:sz w:val="24"/>
        </w:rPr>
        <w:t>.</w:t>
      </w:r>
      <w:r>
        <w:rPr>
          <w:rStyle w:val="Odkaznavysvtlivky"/>
          <w:rFonts w:ascii="Arial" w:hAnsi="Arial"/>
          <w:sz w:val="24"/>
        </w:rPr>
        <w:endnoteReference w:id="28"/>
      </w:r>
      <w:r w:rsidRPr="00CC21A0">
        <w:rPr>
          <w:rFonts w:ascii="Arial" w:hAnsi="Arial" w:cs="Arial"/>
          <w:sz w:val="24"/>
        </w:rPr>
        <w:t xml:space="preserve"> </w:t>
      </w:r>
      <w:r>
        <w:rPr>
          <w:rFonts w:ascii="Arial" w:hAnsi="Arial" w:cs="Arial"/>
          <w:sz w:val="24"/>
        </w:rPr>
        <w:t xml:space="preserve">V kontextu celé populace </w:t>
      </w:r>
      <w:proofErr w:type="gramStart"/>
      <w:r>
        <w:rPr>
          <w:rFonts w:ascii="Arial" w:hAnsi="Arial" w:cs="Arial"/>
          <w:sz w:val="24"/>
        </w:rPr>
        <w:t>tvoří</w:t>
      </w:r>
      <w:proofErr w:type="gramEnd"/>
      <w:r>
        <w:rPr>
          <w:rFonts w:ascii="Arial" w:hAnsi="Arial" w:cs="Arial"/>
          <w:sz w:val="24"/>
        </w:rPr>
        <w:t xml:space="preserve"> osoby ve věku 80+ 4,3 %.</w:t>
      </w:r>
      <w:r>
        <w:rPr>
          <w:rStyle w:val="Odkaznavysvtlivky"/>
          <w:rFonts w:ascii="Arial" w:hAnsi="Arial"/>
          <w:sz w:val="24"/>
        </w:rPr>
        <w:endnoteReference w:id="29"/>
      </w:r>
      <w:r>
        <w:rPr>
          <w:rFonts w:ascii="Arial" w:hAnsi="Arial" w:cs="Arial"/>
          <w:sz w:val="24"/>
        </w:rPr>
        <w:t xml:space="preserve"> </w:t>
      </w:r>
      <w:r w:rsidRPr="00CC21A0">
        <w:rPr>
          <w:rFonts w:ascii="Arial" w:hAnsi="Arial" w:cs="Arial"/>
          <w:b/>
          <w:bCs/>
          <w:sz w:val="24"/>
        </w:rPr>
        <w:t>V roce 2050</w:t>
      </w:r>
      <w:r w:rsidRPr="00CC21A0">
        <w:rPr>
          <w:rFonts w:ascii="Arial" w:hAnsi="Arial" w:cs="Arial"/>
          <w:sz w:val="24"/>
        </w:rPr>
        <w:t xml:space="preserve"> budou ve věkové kategorii 65+ téměř tři z deseti obyvatel ČR, ve věkové kategorii 80+ to bude každý jedenáctý obyvatel ČR.</w:t>
      </w:r>
    </w:p>
    <w:p w14:paraId="787AD6B6" w14:textId="77777777" w:rsidR="00D47E6A" w:rsidRPr="006466C1" w:rsidRDefault="00D47E6A" w:rsidP="00D47E6A">
      <w:pPr>
        <w:pStyle w:val="Titulek"/>
        <w:keepNext/>
        <w:spacing w:after="240"/>
      </w:pPr>
      <w:bookmarkStart w:id="11" w:name="_Toc509241280"/>
      <w:r w:rsidRPr="0060793E">
        <w:t xml:space="preserve">Graf č. </w:t>
      </w:r>
      <w:r>
        <w:rPr>
          <w:noProof/>
        </w:rPr>
        <w:fldChar w:fldCharType="begin"/>
      </w:r>
      <w:r>
        <w:rPr>
          <w:noProof/>
        </w:rPr>
        <w:instrText xml:space="preserve"> SEQ Graf_č. \* ARABIC </w:instrText>
      </w:r>
      <w:r>
        <w:rPr>
          <w:noProof/>
        </w:rPr>
        <w:fldChar w:fldCharType="separate"/>
      </w:r>
      <w:r>
        <w:rPr>
          <w:noProof/>
        </w:rPr>
        <w:t>2</w:t>
      </w:r>
      <w:r>
        <w:rPr>
          <w:noProof/>
        </w:rPr>
        <w:fldChar w:fldCharType="end"/>
      </w:r>
      <w:r w:rsidRPr="0060793E">
        <w:t>: Projekce vývoje obyvatelstva ČR ve věkových kategoriích 0-64, 65-79, 80+ v % (2000–2050)</w:t>
      </w:r>
      <w:bookmarkEnd w:id="11"/>
    </w:p>
    <w:p w14:paraId="419FD080" w14:textId="66ADD789" w:rsidR="00D47E6A" w:rsidRDefault="00D47E6A" w:rsidP="005D4996">
      <w:pPr>
        <w:spacing w:after="120" w:line="360" w:lineRule="auto"/>
        <w:jc w:val="both"/>
        <w:rPr>
          <w:rFonts w:ascii="Arial" w:hAnsi="Arial" w:cs="Arial"/>
          <w:sz w:val="24"/>
        </w:rPr>
      </w:pPr>
      <w:r>
        <w:rPr>
          <w:noProof/>
          <w:color w:val="00B050"/>
          <w:sz w:val="20"/>
          <w:szCs w:val="20"/>
          <w:lang w:eastAsia="cs-CZ"/>
        </w:rPr>
        <w:drawing>
          <wp:inline distT="0" distB="0" distL="0" distR="0" wp14:anchorId="29D1F1B0" wp14:editId="7631A49B">
            <wp:extent cx="5759450" cy="4678792"/>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jekce obyvatelstva.png"/>
                    <pic:cNvPicPr/>
                  </pic:nvPicPr>
                  <pic:blipFill>
                    <a:blip r:embed="rId13">
                      <a:extLst>
                        <a:ext uri="{28A0092B-C50C-407E-A947-70E740481C1C}">
                          <a14:useLocalDpi xmlns:a14="http://schemas.microsoft.com/office/drawing/2010/main" val="0"/>
                        </a:ext>
                      </a:extLst>
                    </a:blip>
                    <a:stretch>
                      <a:fillRect/>
                    </a:stretch>
                  </pic:blipFill>
                  <pic:spPr>
                    <a:xfrm>
                      <a:off x="0" y="0"/>
                      <a:ext cx="5759450" cy="4678792"/>
                    </a:xfrm>
                    <a:prstGeom prst="rect">
                      <a:avLst/>
                    </a:prstGeom>
                  </pic:spPr>
                </pic:pic>
              </a:graphicData>
            </a:graphic>
          </wp:inline>
        </w:drawing>
      </w:r>
    </w:p>
    <w:p w14:paraId="36328E25" w14:textId="1922C947" w:rsidR="0068293A" w:rsidRPr="0068293A" w:rsidRDefault="0068293A" w:rsidP="0068293A">
      <w:pPr>
        <w:spacing w:after="120" w:line="360" w:lineRule="auto"/>
        <w:jc w:val="right"/>
        <w:rPr>
          <w:rFonts w:ascii="Arial" w:hAnsi="Arial" w:cs="Arial"/>
          <w:i/>
          <w:iCs/>
          <w:sz w:val="18"/>
          <w:szCs w:val="18"/>
          <w:vertAlign w:val="superscript"/>
        </w:rPr>
      </w:pPr>
      <w:r w:rsidRPr="00CE789C">
        <w:rPr>
          <w:rFonts w:ascii="Arial" w:hAnsi="Arial" w:cs="Arial"/>
          <w:i/>
          <w:iCs/>
          <w:sz w:val="18"/>
          <w:szCs w:val="18"/>
        </w:rPr>
        <w:t>Zdroj: ČSÚ</w:t>
      </w:r>
      <w:r w:rsidRPr="00CE789C">
        <w:rPr>
          <w:rStyle w:val="Odkaznavysvtlivky"/>
          <w:rFonts w:ascii="Arial" w:hAnsi="Arial"/>
          <w:i/>
          <w:iCs/>
          <w:sz w:val="18"/>
          <w:szCs w:val="18"/>
        </w:rPr>
        <w:endnoteReference w:id="30"/>
      </w:r>
    </w:p>
    <w:p w14:paraId="06751AE6" w14:textId="77777777" w:rsidR="005D4996" w:rsidRPr="0060793E" w:rsidRDefault="005D4996" w:rsidP="005D4996">
      <w:pPr>
        <w:pStyle w:val="Nadpis2"/>
        <w:spacing w:before="120" w:after="120"/>
      </w:pPr>
      <w:bookmarkStart w:id="12" w:name="_Toc102641991"/>
      <w:bookmarkStart w:id="13" w:name="_Toc137819480"/>
      <w:r w:rsidRPr="00AA7883">
        <w:t>B Finanční zajištění ve stáří</w:t>
      </w:r>
      <w:bookmarkEnd w:id="12"/>
      <w:bookmarkEnd w:id="13"/>
      <w:r w:rsidRPr="0060793E">
        <w:t xml:space="preserve"> </w:t>
      </w:r>
    </w:p>
    <w:p w14:paraId="79525957" w14:textId="194624C5" w:rsidR="0068293A" w:rsidRDefault="0068293A" w:rsidP="0068293A">
      <w:pPr>
        <w:spacing w:after="120" w:line="360" w:lineRule="auto"/>
        <w:jc w:val="both"/>
        <w:rPr>
          <w:rFonts w:ascii="Arial" w:hAnsi="Arial" w:cs="Arial"/>
          <w:sz w:val="24"/>
        </w:rPr>
      </w:pPr>
      <w:r w:rsidRPr="002D3BCE">
        <w:rPr>
          <w:rFonts w:ascii="Arial" w:hAnsi="Arial" w:cs="Arial"/>
          <w:sz w:val="24"/>
        </w:rPr>
        <w:t>Převládajícím příjmem seniorů je</w:t>
      </w:r>
      <w:r w:rsidRPr="002D3BCE">
        <w:rPr>
          <w:rFonts w:ascii="Arial" w:hAnsi="Arial" w:cs="Arial"/>
          <w:b/>
          <w:bCs/>
          <w:sz w:val="24"/>
        </w:rPr>
        <w:t xml:space="preserve"> starobní důchod.</w:t>
      </w:r>
      <w:r w:rsidRPr="002D3BCE">
        <w:rPr>
          <w:rFonts w:ascii="Arial" w:hAnsi="Arial" w:cs="Arial"/>
          <w:sz w:val="24"/>
        </w:rPr>
        <w:t xml:space="preserve"> V </w:t>
      </w:r>
      <w:r w:rsidR="00072300">
        <w:rPr>
          <w:rFonts w:ascii="Arial" w:hAnsi="Arial" w:cs="Arial"/>
          <w:sz w:val="24"/>
        </w:rPr>
        <w:t>březnu</w:t>
      </w:r>
      <w:r w:rsidRPr="002D3BCE">
        <w:rPr>
          <w:rFonts w:ascii="Arial" w:hAnsi="Arial" w:cs="Arial"/>
          <w:sz w:val="24"/>
        </w:rPr>
        <w:t xml:space="preserve"> roku 202</w:t>
      </w:r>
      <w:r w:rsidR="00072300">
        <w:rPr>
          <w:rFonts w:ascii="Arial" w:hAnsi="Arial" w:cs="Arial"/>
          <w:sz w:val="24"/>
        </w:rPr>
        <w:t>3</w:t>
      </w:r>
      <w:r w:rsidRPr="002D3BCE">
        <w:rPr>
          <w:rFonts w:ascii="Arial" w:hAnsi="Arial" w:cs="Arial"/>
          <w:sz w:val="24"/>
        </w:rPr>
        <w:t xml:space="preserve"> pobíralo 2,</w:t>
      </w:r>
      <w:r w:rsidR="00072300">
        <w:rPr>
          <w:rFonts w:ascii="Arial" w:hAnsi="Arial" w:cs="Arial"/>
          <w:sz w:val="24"/>
        </w:rPr>
        <w:t>4</w:t>
      </w:r>
      <w:r w:rsidR="006C431D" w:rsidRPr="002D3BCE">
        <w:rPr>
          <w:rFonts w:ascii="Arial" w:hAnsi="Arial" w:cs="Arial"/>
          <w:sz w:val="24"/>
        </w:rPr>
        <w:t> </w:t>
      </w:r>
      <w:r w:rsidRPr="002D3BCE">
        <w:rPr>
          <w:rFonts w:ascii="Arial" w:hAnsi="Arial" w:cs="Arial"/>
          <w:sz w:val="24"/>
        </w:rPr>
        <w:t>mil. osob starobní důchod</w:t>
      </w:r>
      <w:r w:rsidR="00072300">
        <w:rPr>
          <w:rFonts w:ascii="Arial" w:hAnsi="Arial" w:cs="Arial"/>
          <w:sz w:val="24"/>
        </w:rPr>
        <w:t xml:space="preserve"> a 423 tis. osob pobíralo invalidní důchod</w:t>
      </w:r>
      <w:r w:rsidRPr="002D3BCE">
        <w:rPr>
          <w:rFonts w:ascii="Arial" w:hAnsi="Arial" w:cs="Arial"/>
          <w:sz w:val="24"/>
        </w:rPr>
        <w:t>.</w:t>
      </w:r>
      <w:r w:rsidRPr="002D3BCE">
        <w:rPr>
          <w:rStyle w:val="Odkaznavysvtlivky"/>
          <w:rFonts w:ascii="Arial" w:hAnsi="Arial"/>
          <w:sz w:val="24"/>
        </w:rPr>
        <w:endnoteReference w:id="31"/>
      </w:r>
      <w:r w:rsidRPr="002D3BCE">
        <w:rPr>
          <w:rFonts w:ascii="Arial" w:hAnsi="Arial" w:cs="Arial"/>
          <w:sz w:val="24"/>
        </w:rPr>
        <w:t xml:space="preserve"> </w:t>
      </w:r>
      <w:r w:rsidRPr="00072300">
        <w:rPr>
          <w:rFonts w:ascii="Arial" w:hAnsi="Arial" w:cs="Arial"/>
          <w:b/>
          <w:bCs/>
          <w:sz w:val="24"/>
        </w:rPr>
        <w:t>Průměrný</w:t>
      </w:r>
      <w:r w:rsidR="00072300">
        <w:rPr>
          <w:rFonts w:ascii="Arial" w:hAnsi="Arial" w:cs="Arial"/>
          <w:b/>
          <w:bCs/>
          <w:sz w:val="24"/>
        </w:rPr>
        <w:t xml:space="preserve"> </w:t>
      </w:r>
      <w:r w:rsidRPr="00072300">
        <w:rPr>
          <w:rFonts w:ascii="Arial" w:hAnsi="Arial" w:cs="Arial"/>
          <w:b/>
          <w:bCs/>
          <w:sz w:val="24"/>
        </w:rPr>
        <w:t>starobní důchod v roce 2023 se zvýšil o</w:t>
      </w:r>
      <w:r w:rsidR="006C431D" w:rsidRPr="00072300">
        <w:rPr>
          <w:rFonts w:ascii="Arial" w:hAnsi="Arial" w:cs="Arial"/>
          <w:b/>
          <w:bCs/>
          <w:sz w:val="24"/>
        </w:rPr>
        <w:t> </w:t>
      </w:r>
      <w:r w:rsidRPr="00072300">
        <w:rPr>
          <w:rFonts w:ascii="Arial" w:hAnsi="Arial" w:cs="Arial"/>
          <w:b/>
          <w:bCs/>
          <w:sz w:val="24"/>
        </w:rPr>
        <w:t>760 Kč</w:t>
      </w:r>
      <w:r w:rsidRPr="002D3BCE">
        <w:rPr>
          <w:rFonts w:ascii="Arial" w:hAnsi="Arial" w:cs="Arial"/>
          <w:sz w:val="24"/>
        </w:rPr>
        <w:t>.</w:t>
      </w:r>
      <w:r w:rsidRPr="002D3BCE">
        <w:rPr>
          <w:rStyle w:val="Odkaznavysvtlivky"/>
          <w:rFonts w:ascii="Arial" w:hAnsi="Arial"/>
          <w:sz w:val="24"/>
        </w:rPr>
        <w:endnoteReference w:id="32"/>
      </w:r>
      <w:r w:rsidRPr="002D3BCE">
        <w:rPr>
          <w:rFonts w:ascii="Arial" w:hAnsi="Arial" w:cs="Arial"/>
          <w:sz w:val="24"/>
        </w:rPr>
        <w:t xml:space="preserve"> </w:t>
      </w:r>
      <w:r w:rsidR="00462348" w:rsidRPr="002D3BCE">
        <w:rPr>
          <w:rFonts w:ascii="Arial" w:hAnsi="Arial" w:cs="Arial"/>
          <w:b/>
          <w:bCs/>
          <w:sz w:val="24"/>
        </w:rPr>
        <w:t xml:space="preserve">Čisté </w:t>
      </w:r>
      <w:r w:rsidR="00462348">
        <w:rPr>
          <w:rFonts w:ascii="Arial" w:hAnsi="Arial" w:cs="Arial"/>
          <w:b/>
          <w:bCs/>
          <w:sz w:val="24"/>
        </w:rPr>
        <w:t xml:space="preserve">roční </w:t>
      </w:r>
      <w:r w:rsidR="00462348" w:rsidRPr="002D3BCE">
        <w:rPr>
          <w:rFonts w:ascii="Arial" w:hAnsi="Arial" w:cs="Arial"/>
          <w:b/>
          <w:bCs/>
          <w:sz w:val="24"/>
        </w:rPr>
        <w:t>příjm</w:t>
      </w:r>
      <w:r w:rsidR="00462348">
        <w:rPr>
          <w:rFonts w:ascii="Arial" w:hAnsi="Arial" w:cs="Arial"/>
          <w:b/>
          <w:bCs/>
          <w:sz w:val="24"/>
        </w:rPr>
        <w:t>y</w:t>
      </w:r>
      <w:r w:rsidR="00462348" w:rsidRPr="002D3BCE">
        <w:rPr>
          <w:rFonts w:ascii="Arial" w:hAnsi="Arial" w:cs="Arial"/>
          <w:sz w:val="24"/>
        </w:rPr>
        <w:t xml:space="preserve"> u domácností důchodců </w:t>
      </w:r>
      <w:r w:rsidR="00462348">
        <w:rPr>
          <w:rFonts w:ascii="Arial" w:hAnsi="Arial" w:cs="Arial"/>
          <w:sz w:val="24"/>
        </w:rPr>
        <w:t>meziročně vzrostly v roce 2022</w:t>
      </w:r>
      <w:r w:rsidR="00462348" w:rsidRPr="002D3BCE">
        <w:rPr>
          <w:rFonts w:ascii="Arial" w:hAnsi="Arial" w:cs="Arial"/>
          <w:sz w:val="24"/>
        </w:rPr>
        <w:t xml:space="preserve"> </w:t>
      </w:r>
      <w:r w:rsidR="00462348">
        <w:rPr>
          <w:rFonts w:ascii="Arial" w:hAnsi="Arial" w:cs="Arial"/>
          <w:sz w:val="24"/>
        </w:rPr>
        <w:t>o</w:t>
      </w:r>
      <w:r w:rsidR="00462348" w:rsidRPr="002D3BCE">
        <w:rPr>
          <w:rFonts w:ascii="Arial" w:hAnsi="Arial" w:cs="Arial"/>
          <w:sz w:val="24"/>
        </w:rPr>
        <w:t xml:space="preserve"> </w:t>
      </w:r>
      <w:r w:rsidR="00462348">
        <w:rPr>
          <w:rFonts w:ascii="Arial" w:hAnsi="Arial" w:cs="Arial"/>
          <w:sz w:val="24"/>
        </w:rPr>
        <w:t>9 447 </w:t>
      </w:r>
      <w:r w:rsidR="00462348" w:rsidRPr="002D3BCE">
        <w:rPr>
          <w:rFonts w:ascii="Arial" w:hAnsi="Arial" w:cs="Arial"/>
          <w:sz w:val="24"/>
        </w:rPr>
        <w:t>Kč.</w:t>
      </w:r>
      <w:r w:rsidR="00462348" w:rsidRPr="002D3BCE">
        <w:rPr>
          <w:rStyle w:val="Odkaznavysvtlivky"/>
          <w:rFonts w:ascii="Arial" w:hAnsi="Arial"/>
          <w:sz w:val="24"/>
        </w:rPr>
        <w:endnoteReference w:id="33"/>
      </w:r>
      <w:r w:rsidR="00462348" w:rsidRPr="002D3BCE">
        <w:rPr>
          <w:rFonts w:ascii="Arial" w:hAnsi="Arial" w:cs="Arial"/>
          <w:sz w:val="24"/>
        </w:rPr>
        <w:t xml:space="preserve"> </w:t>
      </w:r>
      <w:r w:rsidR="00072300">
        <w:rPr>
          <w:rFonts w:ascii="Arial" w:hAnsi="Arial" w:cs="Arial"/>
          <w:sz w:val="24"/>
        </w:rPr>
        <w:t>R</w:t>
      </w:r>
      <w:r w:rsidRPr="00947BF2">
        <w:rPr>
          <w:rFonts w:ascii="Arial" w:hAnsi="Arial" w:cs="Arial"/>
          <w:sz w:val="24"/>
        </w:rPr>
        <w:t xml:space="preserve">ozdíl mezi průměrným důchodem mužů a žen </w:t>
      </w:r>
      <w:r w:rsidR="00072300">
        <w:rPr>
          <w:rFonts w:ascii="Arial" w:hAnsi="Arial" w:cs="Arial"/>
          <w:sz w:val="24"/>
        </w:rPr>
        <w:t xml:space="preserve">se </w:t>
      </w:r>
      <w:r w:rsidR="00875A89">
        <w:rPr>
          <w:rFonts w:ascii="Arial" w:hAnsi="Arial" w:cs="Arial"/>
          <w:sz w:val="24"/>
        </w:rPr>
        <w:t xml:space="preserve">v roce 2022 </w:t>
      </w:r>
      <w:r w:rsidR="00072300">
        <w:rPr>
          <w:rFonts w:ascii="Arial" w:hAnsi="Arial" w:cs="Arial"/>
          <w:sz w:val="24"/>
        </w:rPr>
        <w:t xml:space="preserve">zvýšil </w:t>
      </w:r>
      <w:r w:rsidRPr="00947BF2">
        <w:rPr>
          <w:rFonts w:ascii="Arial" w:hAnsi="Arial" w:cs="Arial"/>
          <w:sz w:val="24"/>
        </w:rPr>
        <w:t xml:space="preserve">na </w:t>
      </w:r>
      <w:r w:rsidR="00072300">
        <w:rPr>
          <w:rFonts w:ascii="Arial" w:hAnsi="Arial" w:cs="Arial"/>
          <w:sz w:val="24"/>
        </w:rPr>
        <w:t>cca</w:t>
      </w:r>
      <w:r>
        <w:rPr>
          <w:rFonts w:ascii="Arial" w:hAnsi="Arial" w:cs="Arial"/>
          <w:sz w:val="24"/>
        </w:rPr>
        <w:t xml:space="preserve"> 18</w:t>
      </w:r>
      <w:r w:rsidRPr="00947BF2">
        <w:rPr>
          <w:rFonts w:ascii="Arial" w:hAnsi="Arial" w:cs="Arial"/>
          <w:sz w:val="24"/>
        </w:rPr>
        <w:t xml:space="preserve"> %.</w:t>
      </w:r>
      <w:r>
        <w:rPr>
          <w:rStyle w:val="Odkaznavysvtlivky"/>
          <w:rFonts w:ascii="Arial" w:hAnsi="Arial"/>
          <w:sz w:val="24"/>
        </w:rPr>
        <w:endnoteReference w:id="34"/>
      </w:r>
      <w:r w:rsidRPr="00947BF2">
        <w:rPr>
          <w:rFonts w:ascii="Arial" w:hAnsi="Arial" w:cs="Arial"/>
          <w:sz w:val="24"/>
        </w:rPr>
        <w:t xml:space="preserve"> </w:t>
      </w:r>
    </w:p>
    <w:tbl>
      <w:tblPr>
        <w:tblW w:w="9928" w:type="dxa"/>
        <w:tblCellMar>
          <w:left w:w="0" w:type="dxa"/>
          <w:right w:w="0" w:type="dxa"/>
        </w:tblCellMar>
        <w:tblLook w:val="04A0" w:firstRow="1" w:lastRow="0" w:firstColumn="1" w:lastColumn="0" w:noHBand="0" w:noVBand="1"/>
      </w:tblPr>
      <w:tblGrid>
        <w:gridCol w:w="2260"/>
        <w:gridCol w:w="1040"/>
        <w:gridCol w:w="1040"/>
        <w:gridCol w:w="1040"/>
        <w:gridCol w:w="1040"/>
        <w:gridCol w:w="1040"/>
        <w:gridCol w:w="1043"/>
        <w:gridCol w:w="1042"/>
        <w:gridCol w:w="383"/>
      </w:tblGrid>
      <w:tr w:rsidR="008F1B33" w14:paraId="39F65518" w14:textId="77777777" w:rsidTr="00571B5E">
        <w:trPr>
          <w:trHeight w:val="300"/>
        </w:trPr>
        <w:tc>
          <w:tcPr>
            <w:tcW w:w="7460" w:type="dxa"/>
            <w:gridSpan w:val="6"/>
            <w:noWrap/>
            <w:tcMar>
              <w:top w:w="0" w:type="dxa"/>
              <w:left w:w="70" w:type="dxa"/>
              <w:bottom w:w="0" w:type="dxa"/>
              <w:right w:w="70" w:type="dxa"/>
            </w:tcMar>
            <w:vAlign w:val="center"/>
            <w:hideMark/>
          </w:tcPr>
          <w:p w14:paraId="6109B95C" w14:textId="77777777" w:rsidR="008F1B33" w:rsidRDefault="008F1B33">
            <w:pPr>
              <w:rPr>
                <w:b/>
                <w:bCs/>
                <w:color w:val="4472C4"/>
                <w:lang w:eastAsia="cs-CZ"/>
              </w:rPr>
            </w:pPr>
            <w:r>
              <w:rPr>
                <w:b/>
                <w:bCs/>
                <w:color w:val="4472C4"/>
                <w:lang w:eastAsia="cs-CZ"/>
              </w:rPr>
              <w:lastRenderedPageBreak/>
              <w:t xml:space="preserve">Tabulka č. 1: Srovnání průměrného starobního důchodu k průměrné mzdě </w:t>
            </w:r>
          </w:p>
        </w:tc>
        <w:tc>
          <w:tcPr>
            <w:tcW w:w="1043" w:type="dxa"/>
            <w:noWrap/>
            <w:tcMar>
              <w:top w:w="0" w:type="dxa"/>
              <w:left w:w="70" w:type="dxa"/>
              <w:bottom w:w="0" w:type="dxa"/>
              <w:right w:w="70" w:type="dxa"/>
            </w:tcMar>
            <w:vAlign w:val="bottom"/>
            <w:hideMark/>
          </w:tcPr>
          <w:p w14:paraId="4D18F2EF" w14:textId="77777777" w:rsidR="008F1B33" w:rsidRDefault="008F1B33">
            <w:pPr>
              <w:rPr>
                <w:b/>
                <w:bCs/>
                <w:color w:val="4472C4"/>
                <w:lang w:eastAsia="cs-CZ"/>
              </w:rPr>
            </w:pPr>
          </w:p>
        </w:tc>
        <w:tc>
          <w:tcPr>
            <w:tcW w:w="1042" w:type="dxa"/>
            <w:noWrap/>
            <w:tcMar>
              <w:top w:w="0" w:type="dxa"/>
              <w:left w:w="70" w:type="dxa"/>
              <w:bottom w:w="0" w:type="dxa"/>
              <w:right w:w="70" w:type="dxa"/>
            </w:tcMar>
            <w:vAlign w:val="bottom"/>
            <w:hideMark/>
          </w:tcPr>
          <w:p w14:paraId="512CA5F9" w14:textId="77777777" w:rsidR="008F1B33" w:rsidRDefault="008F1B33">
            <w:pPr>
              <w:rPr>
                <w:rFonts w:ascii="Times New Roman" w:eastAsia="Times New Roman" w:hAnsi="Times New Roman" w:cs="Times New Roman"/>
                <w:sz w:val="20"/>
                <w:szCs w:val="20"/>
                <w:lang w:eastAsia="cs-CZ"/>
              </w:rPr>
            </w:pPr>
          </w:p>
        </w:tc>
        <w:tc>
          <w:tcPr>
            <w:tcW w:w="383" w:type="dxa"/>
            <w:vAlign w:val="center"/>
            <w:hideMark/>
          </w:tcPr>
          <w:p w14:paraId="38E8118E" w14:textId="77777777" w:rsidR="008F1B33" w:rsidRDefault="008F1B33">
            <w:pPr>
              <w:rPr>
                <w:rFonts w:ascii="Calibri" w:hAnsi="Calibri" w:cs="Calibri"/>
              </w:rPr>
            </w:pPr>
            <w:r>
              <w:t> </w:t>
            </w:r>
          </w:p>
        </w:tc>
      </w:tr>
      <w:tr w:rsidR="008F1B33" w14:paraId="0BACDE18" w14:textId="77777777" w:rsidTr="00571B5E">
        <w:trPr>
          <w:trHeight w:val="300"/>
        </w:trPr>
        <w:tc>
          <w:tcPr>
            <w:tcW w:w="226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3A2B51C3" w14:textId="77777777" w:rsidR="008F1B33" w:rsidRDefault="008F1B33">
            <w:pPr>
              <w:jc w:val="center"/>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Rok</w:t>
            </w:r>
          </w:p>
        </w:tc>
        <w:tc>
          <w:tcPr>
            <w:tcW w:w="104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2AEC69BA"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2010</w:t>
            </w:r>
          </w:p>
        </w:tc>
        <w:tc>
          <w:tcPr>
            <w:tcW w:w="104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4AA0CDC6"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2013</w:t>
            </w:r>
          </w:p>
        </w:tc>
        <w:tc>
          <w:tcPr>
            <w:tcW w:w="104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16031088"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2018</w:t>
            </w:r>
          </w:p>
        </w:tc>
        <w:tc>
          <w:tcPr>
            <w:tcW w:w="104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0E9DDE97"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2019</w:t>
            </w:r>
          </w:p>
        </w:tc>
        <w:tc>
          <w:tcPr>
            <w:tcW w:w="1040"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59710EA3"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2020</w:t>
            </w:r>
          </w:p>
        </w:tc>
        <w:tc>
          <w:tcPr>
            <w:tcW w:w="1043"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614B5D80"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2021</w:t>
            </w:r>
          </w:p>
        </w:tc>
        <w:tc>
          <w:tcPr>
            <w:tcW w:w="1042" w:type="dxa"/>
            <w:tcBorders>
              <w:top w:val="single" w:sz="8" w:space="0" w:color="323E4F"/>
              <w:left w:val="nil"/>
              <w:bottom w:val="single" w:sz="8" w:space="0" w:color="323E4F"/>
              <w:right w:val="nil"/>
            </w:tcBorders>
            <w:shd w:val="clear" w:color="auto" w:fill="B4C6E7"/>
            <w:tcMar>
              <w:top w:w="0" w:type="dxa"/>
              <w:left w:w="70" w:type="dxa"/>
              <w:bottom w:w="0" w:type="dxa"/>
              <w:right w:w="70" w:type="dxa"/>
            </w:tcMar>
            <w:vAlign w:val="center"/>
            <w:hideMark/>
          </w:tcPr>
          <w:p w14:paraId="234EF2FC" w14:textId="77777777" w:rsidR="008F1B33" w:rsidRDefault="008F1B33">
            <w:pPr>
              <w:jc w:val="right"/>
              <w:rPr>
                <w:rFonts w:ascii="Calibri Light" w:hAnsi="Calibri Light" w:cs="Calibri Light"/>
                <w:b/>
                <w:bCs/>
                <w:color w:val="000000"/>
                <w:sz w:val="20"/>
                <w:szCs w:val="20"/>
                <w:lang w:eastAsia="cs-CZ"/>
              </w:rPr>
            </w:pPr>
            <w:r>
              <w:rPr>
                <w:rFonts w:ascii="Calibri Light" w:hAnsi="Calibri Light" w:cs="Calibri Light"/>
                <w:b/>
                <w:bCs/>
                <w:color w:val="000000"/>
                <w:sz w:val="20"/>
                <w:szCs w:val="20"/>
                <w:lang w:eastAsia="cs-CZ"/>
              </w:rPr>
              <w:t>2022</w:t>
            </w:r>
          </w:p>
        </w:tc>
        <w:tc>
          <w:tcPr>
            <w:tcW w:w="383" w:type="dxa"/>
            <w:vAlign w:val="center"/>
            <w:hideMark/>
          </w:tcPr>
          <w:p w14:paraId="26CC6E36" w14:textId="77777777" w:rsidR="008F1B33" w:rsidRDefault="008F1B33">
            <w:pPr>
              <w:rPr>
                <w:rFonts w:ascii="Calibri" w:hAnsi="Calibri" w:cs="Calibri"/>
              </w:rPr>
            </w:pPr>
            <w:r>
              <w:t> </w:t>
            </w:r>
          </w:p>
        </w:tc>
      </w:tr>
      <w:tr w:rsidR="008F1B33" w14:paraId="2919F621" w14:textId="77777777" w:rsidTr="00571B5E">
        <w:trPr>
          <w:trHeight w:val="540"/>
        </w:trPr>
        <w:tc>
          <w:tcPr>
            <w:tcW w:w="2260" w:type="dxa"/>
            <w:tcMar>
              <w:top w:w="0" w:type="dxa"/>
              <w:left w:w="70" w:type="dxa"/>
              <w:bottom w:w="0" w:type="dxa"/>
              <w:right w:w="70" w:type="dxa"/>
            </w:tcMar>
            <w:vAlign w:val="center"/>
            <w:hideMark/>
          </w:tcPr>
          <w:p w14:paraId="01D0F558" w14:textId="77777777" w:rsidR="008F1B33" w:rsidRDefault="008F1B33">
            <w:pPr>
              <w:rPr>
                <w:rFonts w:ascii="Calibri Light" w:hAnsi="Calibri Light" w:cs="Calibri Light"/>
                <w:b/>
                <w:bCs/>
                <w:color w:val="595959"/>
                <w:sz w:val="20"/>
                <w:szCs w:val="20"/>
                <w:lang w:eastAsia="cs-CZ"/>
              </w:rPr>
            </w:pPr>
            <w:r>
              <w:rPr>
                <w:rFonts w:ascii="Calibri Light" w:hAnsi="Calibri Light" w:cs="Calibri Light"/>
                <w:b/>
                <w:bCs/>
                <w:color w:val="595959"/>
                <w:sz w:val="20"/>
                <w:szCs w:val="20"/>
                <w:lang w:eastAsia="cs-CZ"/>
              </w:rPr>
              <w:t>Průměrný starobní důchod (v Kč) *</w:t>
            </w:r>
          </w:p>
        </w:tc>
        <w:tc>
          <w:tcPr>
            <w:tcW w:w="1040" w:type="dxa"/>
            <w:tcMar>
              <w:top w:w="0" w:type="dxa"/>
              <w:left w:w="70" w:type="dxa"/>
              <w:bottom w:w="0" w:type="dxa"/>
              <w:right w:w="70" w:type="dxa"/>
            </w:tcMar>
            <w:vAlign w:val="center"/>
            <w:hideMark/>
          </w:tcPr>
          <w:p w14:paraId="4860F467"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10 093</w:t>
            </w:r>
          </w:p>
        </w:tc>
        <w:tc>
          <w:tcPr>
            <w:tcW w:w="1040" w:type="dxa"/>
            <w:tcMar>
              <w:top w:w="0" w:type="dxa"/>
              <w:left w:w="70" w:type="dxa"/>
              <w:bottom w:w="0" w:type="dxa"/>
              <w:right w:w="70" w:type="dxa"/>
            </w:tcMar>
            <w:vAlign w:val="center"/>
            <w:hideMark/>
          </w:tcPr>
          <w:p w14:paraId="4A8CFF8B"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10 962</w:t>
            </w:r>
          </w:p>
        </w:tc>
        <w:tc>
          <w:tcPr>
            <w:tcW w:w="1040" w:type="dxa"/>
            <w:tcMar>
              <w:top w:w="0" w:type="dxa"/>
              <w:left w:w="70" w:type="dxa"/>
              <w:bottom w:w="0" w:type="dxa"/>
              <w:right w:w="70" w:type="dxa"/>
            </w:tcMar>
            <w:vAlign w:val="center"/>
            <w:hideMark/>
          </w:tcPr>
          <w:p w14:paraId="1E344619"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12 391</w:t>
            </w:r>
          </w:p>
        </w:tc>
        <w:tc>
          <w:tcPr>
            <w:tcW w:w="1040" w:type="dxa"/>
            <w:tcMar>
              <w:top w:w="0" w:type="dxa"/>
              <w:left w:w="70" w:type="dxa"/>
              <w:bottom w:w="0" w:type="dxa"/>
              <w:right w:w="70" w:type="dxa"/>
            </w:tcMar>
            <w:vAlign w:val="center"/>
            <w:hideMark/>
          </w:tcPr>
          <w:p w14:paraId="5671F550"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13 431</w:t>
            </w:r>
          </w:p>
        </w:tc>
        <w:tc>
          <w:tcPr>
            <w:tcW w:w="1040" w:type="dxa"/>
            <w:tcMar>
              <w:top w:w="0" w:type="dxa"/>
              <w:left w:w="70" w:type="dxa"/>
              <w:bottom w:w="0" w:type="dxa"/>
              <w:right w:w="70" w:type="dxa"/>
            </w:tcMar>
            <w:vAlign w:val="center"/>
            <w:hideMark/>
          </w:tcPr>
          <w:p w14:paraId="6CDCDBCC"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14 451</w:t>
            </w:r>
          </w:p>
        </w:tc>
        <w:tc>
          <w:tcPr>
            <w:tcW w:w="1043" w:type="dxa"/>
            <w:tcMar>
              <w:top w:w="0" w:type="dxa"/>
              <w:left w:w="70" w:type="dxa"/>
              <w:bottom w:w="0" w:type="dxa"/>
              <w:right w:w="70" w:type="dxa"/>
            </w:tcMar>
            <w:vAlign w:val="center"/>
            <w:hideMark/>
          </w:tcPr>
          <w:p w14:paraId="6FE903DD" w14:textId="77777777" w:rsidR="008F1B33" w:rsidRDefault="008F1B33">
            <w:pPr>
              <w:rPr>
                <w:rFonts w:ascii="Times New Roman" w:hAnsi="Times New Roman" w:cs="Times New Roman"/>
                <w:sz w:val="20"/>
                <w:szCs w:val="20"/>
                <w:lang w:eastAsia="cs-CZ"/>
              </w:rPr>
            </w:pPr>
            <w:r>
              <w:rPr>
                <w:rFonts w:ascii="Times New Roman" w:hAnsi="Times New Roman" w:cs="Times New Roman"/>
                <w:sz w:val="20"/>
                <w:szCs w:val="20"/>
                <w:lang w:eastAsia="cs-CZ"/>
              </w:rPr>
              <w:t>       </w:t>
            </w:r>
            <w:r>
              <w:rPr>
                <w:rFonts w:ascii="Calibri Light" w:hAnsi="Calibri Light" w:cs="Calibri Light"/>
                <w:color w:val="000000"/>
                <w:sz w:val="20"/>
                <w:szCs w:val="20"/>
                <w:lang w:eastAsia="cs-CZ"/>
              </w:rPr>
              <w:t>15 410</w:t>
            </w:r>
          </w:p>
        </w:tc>
        <w:tc>
          <w:tcPr>
            <w:tcW w:w="1042" w:type="dxa"/>
            <w:tcMar>
              <w:top w:w="0" w:type="dxa"/>
              <w:left w:w="70" w:type="dxa"/>
              <w:bottom w:w="0" w:type="dxa"/>
              <w:right w:w="70" w:type="dxa"/>
            </w:tcMar>
            <w:vAlign w:val="center"/>
            <w:hideMark/>
          </w:tcPr>
          <w:p w14:paraId="59461EB5" w14:textId="77777777" w:rsidR="008F1B33" w:rsidRDefault="008F1B33">
            <w:pPr>
              <w:rPr>
                <w:rFonts w:ascii="Times New Roman" w:hAnsi="Times New Roman" w:cs="Times New Roman"/>
                <w:sz w:val="20"/>
                <w:szCs w:val="20"/>
                <w:lang w:eastAsia="cs-CZ"/>
              </w:rPr>
            </w:pPr>
            <w:r>
              <w:rPr>
                <w:rFonts w:ascii="Calibri Light" w:hAnsi="Calibri Light" w:cs="Calibri Light"/>
                <w:color w:val="000000"/>
                <w:sz w:val="20"/>
                <w:szCs w:val="20"/>
                <w:lang w:eastAsia="cs-CZ"/>
              </w:rPr>
              <w:t>      17 146</w:t>
            </w:r>
          </w:p>
        </w:tc>
        <w:tc>
          <w:tcPr>
            <w:tcW w:w="383" w:type="dxa"/>
            <w:vAlign w:val="center"/>
            <w:hideMark/>
          </w:tcPr>
          <w:p w14:paraId="7214F578" w14:textId="77777777" w:rsidR="008F1B33" w:rsidRDefault="008F1B33">
            <w:pPr>
              <w:rPr>
                <w:rFonts w:ascii="Calibri" w:hAnsi="Calibri" w:cs="Calibri"/>
              </w:rPr>
            </w:pPr>
            <w:r>
              <w:t> </w:t>
            </w:r>
          </w:p>
        </w:tc>
      </w:tr>
      <w:tr w:rsidR="008F1B33" w14:paraId="543BD071" w14:textId="77777777" w:rsidTr="00571B5E">
        <w:trPr>
          <w:trHeight w:val="540"/>
        </w:trPr>
        <w:tc>
          <w:tcPr>
            <w:tcW w:w="2260" w:type="dxa"/>
            <w:tcMar>
              <w:top w:w="0" w:type="dxa"/>
              <w:left w:w="70" w:type="dxa"/>
              <w:bottom w:w="0" w:type="dxa"/>
              <w:right w:w="70" w:type="dxa"/>
            </w:tcMar>
            <w:vAlign w:val="center"/>
            <w:hideMark/>
          </w:tcPr>
          <w:p w14:paraId="64041B70" w14:textId="77777777" w:rsidR="008F1B33" w:rsidRDefault="008F1B33">
            <w:pPr>
              <w:rPr>
                <w:rFonts w:ascii="Calibri Light" w:hAnsi="Calibri Light" w:cs="Calibri Light"/>
                <w:b/>
                <w:bCs/>
                <w:color w:val="595959"/>
                <w:sz w:val="20"/>
                <w:szCs w:val="20"/>
                <w:lang w:eastAsia="cs-CZ"/>
              </w:rPr>
            </w:pPr>
            <w:r>
              <w:rPr>
                <w:rFonts w:ascii="Calibri Light" w:hAnsi="Calibri Light" w:cs="Calibri Light"/>
                <w:b/>
                <w:bCs/>
                <w:color w:val="595959"/>
                <w:sz w:val="20"/>
                <w:szCs w:val="20"/>
                <w:lang w:eastAsia="cs-CZ"/>
              </w:rPr>
              <w:t>Průměrná hrubá měsíční mzda (v Kč) **</w:t>
            </w:r>
          </w:p>
        </w:tc>
        <w:tc>
          <w:tcPr>
            <w:tcW w:w="1040" w:type="dxa"/>
            <w:tcMar>
              <w:top w:w="0" w:type="dxa"/>
              <w:left w:w="70" w:type="dxa"/>
              <w:bottom w:w="0" w:type="dxa"/>
              <w:right w:w="70" w:type="dxa"/>
            </w:tcMar>
            <w:vAlign w:val="center"/>
            <w:hideMark/>
          </w:tcPr>
          <w:p w14:paraId="0C9D9486"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24 526</w:t>
            </w:r>
          </w:p>
        </w:tc>
        <w:tc>
          <w:tcPr>
            <w:tcW w:w="1040" w:type="dxa"/>
            <w:tcMar>
              <w:top w:w="0" w:type="dxa"/>
              <w:left w:w="70" w:type="dxa"/>
              <w:bottom w:w="0" w:type="dxa"/>
              <w:right w:w="70" w:type="dxa"/>
            </w:tcMar>
            <w:vAlign w:val="center"/>
            <w:hideMark/>
          </w:tcPr>
          <w:p w14:paraId="14577D53"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25 903</w:t>
            </w:r>
          </w:p>
        </w:tc>
        <w:tc>
          <w:tcPr>
            <w:tcW w:w="1040" w:type="dxa"/>
            <w:tcMar>
              <w:top w:w="0" w:type="dxa"/>
              <w:left w:w="70" w:type="dxa"/>
              <w:bottom w:w="0" w:type="dxa"/>
              <w:right w:w="70" w:type="dxa"/>
            </w:tcMar>
            <w:vAlign w:val="center"/>
            <w:hideMark/>
          </w:tcPr>
          <w:p w14:paraId="7B6F85CE"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32 510</w:t>
            </w:r>
          </w:p>
        </w:tc>
        <w:tc>
          <w:tcPr>
            <w:tcW w:w="1040" w:type="dxa"/>
            <w:tcMar>
              <w:top w:w="0" w:type="dxa"/>
              <w:left w:w="70" w:type="dxa"/>
              <w:bottom w:w="0" w:type="dxa"/>
              <w:right w:w="70" w:type="dxa"/>
            </w:tcMar>
            <w:vAlign w:val="center"/>
            <w:hideMark/>
          </w:tcPr>
          <w:p w14:paraId="006D39EF"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34 766</w:t>
            </w:r>
          </w:p>
        </w:tc>
        <w:tc>
          <w:tcPr>
            <w:tcW w:w="1040" w:type="dxa"/>
            <w:tcMar>
              <w:top w:w="0" w:type="dxa"/>
              <w:left w:w="70" w:type="dxa"/>
              <w:bottom w:w="0" w:type="dxa"/>
              <w:right w:w="70" w:type="dxa"/>
            </w:tcMar>
            <w:vAlign w:val="center"/>
            <w:hideMark/>
          </w:tcPr>
          <w:p w14:paraId="7954304E"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36 119</w:t>
            </w:r>
          </w:p>
        </w:tc>
        <w:tc>
          <w:tcPr>
            <w:tcW w:w="1043" w:type="dxa"/>
            <w:tcMar>
              <w:top w:w="0" w:type="dxa"/>
              <w:left w:w="70" w:type="dxa"/>
              <w:bottom w:w="0" w:type="dxa"/>
              <w:right w:w="70" w:type="dxa"/>
            </w:tcMar>
            <w:vAlign w:val="center"/>
            <w:hideMark/>
          </w:tcPr>
          <w:p w14:paraId="2DCE202B"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38 294</w:t>
            </w:r>
          </w:p>
        </w:tc>
        <w:tc>
          <w:tcPr>
            <w:tcW w:w="1042" w:type="dxa"/>
            <w:tcMar>
              <w:top w:w="0" w:type="dxa"/>
              <w:left w:w="70" w:type="dxa"/>
              <w:bottom w:w="0" w:type="dxa"/>
              <w:right w:w="70" w:type="dxa"/>
            </w:tcMar>
            <w:vAlign w:val="center"/>
            <w:hideMark/>
          </w:tcPr>
          <w:p w14:paraId="57B4CBFD" w14:textId="77777777" w:rsidR="008F1B33" w:rsidRDefault="008F1B33">
            <w:pPr>
              <w:jc w:val="right"/>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 xml:space="preserve">40 324 </w:t>
            </w:r>
            <w:r>
              <w:rPr>
                <w:rFonts w:ascii="Calibri Light" w:hAnsi="Calibri Light" w:cs="Calibri Light"/>
                <w:color w:val="000000"/>
                <w:sz w:val="20"/>
                <w:szCs w:val="20"/>
                <w:vertAlign w:val="superscript"/>
                <w:lang w:eastAsia="cs-CZ"/>
              </w:rPr>
              <w:t>p)</w:t>
            </w:r>
          </w:p>
        </w:tc>
        <w:tc>
          <w:tcPr>
            <w:tcW w:w="383" w:type="dxa"/>
            <w:vAlign w:val="center"/>
            <w:hideMark/>
          </w:tcPr>
          <w:p w14:paraId="4E0295DB" w14:textId="77777777" w:rsidR="008F1B33" w:rsidRDefault="008F1B33">
            <w:pPr>
              <w:rPr>
                <w:rFonts w:ascii="Calibri" w:hAnsi="Calibri" w:cs="Calibri"/>
              </w:rPr>
            </w:pPr>
            <w:r>
              <w:t> </w:t>
            </w:r>
          </w:p>
        </w:tc>
      </w:tr>
      <w:tr w:rsidR="008F1B33" w14:paraId="14208CCA" w14:textId="77777777" w:rsidTr="00571B5E">
        <w:trPr>
          <w:trHeight w:val="804"/>
        </w:trPr>
        <w:tc>
          <w:tcPr>
            <w:tcW w:w="2260" w:type="dxa"/>
            <w:tcMar>
              <w:top w:w="0" w:type="dxa"/>
              <w:left w:w="70" w:type="dxa"/>
              <w:bottom w:w="0" w:type="dxa"/>
              <w:right w:w="70" w:type="dxa"/>
            </w:tcMar>
            <w:vAlign w:val="center"/>
            <w:hideMark/>
          </w:tcPr>
          <w:p w14:paraId="15B86FBF" w14:textId="77777777" w:rsidR="008F1B33" w:rsidRDefault="008F1B33">
            <w:pPr>
              <w:rPr>
                <w:rFonts w:ascii="Calibri Light" w:hAnsi="Calibri Light" w:cs="Calibri Light"/>
                <w:b/>
                <w:bCs/>
                <w:color w:val="595959"/>
                <w:sz w:val="20"/>
                <w:szCs w:val="20"/>
                <w:lang w:eastAsia="cs-CZ"/>
              </w:rPr>
            </w:pPr>
            <w:r>
              <w:rPr>
                <w:rFonts w:ascii="Calibri Light" w:hAnsi="Calibri Light" w:cs="Calibri Light"/>
                <w:b/>
                <w:bCs/>
                <w:color w:val="595959"/>
                <w:sz w:val="20"/>
                <w:szCs w:val="20"/>
                <w:lang w:eastAsia="cs-CZ"/>
              </w:rPr>
              <w:t>Srovnání průměrného starobního důchodu a průměrné hrubé měsíční mzdy (v %)</w:t>
            </w:r>
          </w:p>
        </w:tc>
        <w:tc>
          <w:tcPr>
            <w:tcW w:w="1040" w:type="dxa"/>
            <w:tcMar>
              <w:top w:w="0" w:type="dxa"/>
              <w:left w:w="70" w:type="dxa"/>
              <w:bottom w:w="0" w:type="dxa"/>
              <w:right w:w="70" w:type="dxa"/>
            </w:tcMar>
            <w:vAlign w:val="center"/>
            <w:hideMark/>
          </w:tcPr>
          <w:p w14:paraId="5FA3AD0E"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41,2%</w:t>
            </w:r>
            <w:proofErr w:type="gramEnd"/>
          </w:p>
        </w:tc>
        <w:tc>
          <w:tcPr>
            <w:tcW w:w="1040" w:type="dxa"/>
            <w:tcMar>
              <w:top w:w="0" w:type="dxa"/>
              <w:left w:w="70" w:type="dxa"/>
              <w:bottom w:w="0" w:type="dxa"/>
              <w:right w:w="70" w:type="dxa"/>
            </w:tcMar>
            <w:vAlign w:val="center"/>
            <w:hideMark/>
          </w:tcPr>
          <w:p w14:paraId="2532D48B"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42,3%</w:t>
            </w:r>
            <w:proofErr w:type="gramEnd"/>
          </w:p>
        </w:tc>
        <w:tc>
          <w:tcPr>
            <w:tcW w:w="1040" w:type="dxa"/>
            <w:tcMar>
              <w:top w:w="0" w:type="dxa"/>
              <w:left w:w="70" w:type="dxa"/>
              <w:bottom w:w="0" w:type="dxa"/>
              <w:right w:w="70" w:type="dxa"/>
            </w:tcMar>
            <w:vAlign w:val="center"/>
            <w:hideMark/>
          </w:tcPr>
          <w:p w14:paraId="2A10A5E6"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38,1%</w:t>
            </w:r>
            <w:proofErr w:type="gramEnd"/>
          </w:p>
        </w:tc>
        <w:tc>
          <w:tcPr>
            <w:tcW w:w="1040" w:type="dxa"/>
            <w:tcMar>
              <w:top w:w="0" w:type="dxa"/>
              <w:left w:w="70" w:type="dxa"/>
              <w:bottom w:w="0" w:type="dxa"/>
              <w:right w:w="70" w:type="dxa"/>
            </w:tcMar>
            <w:vAlign w:val="center"/>
            <w:hideMark/>
          </w:tcPr>
          <w:p w14:paraId="5BB93461"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38,6%</w:t>
            </w:r>
            <w:proofErr w:type="gramEnd"/>
          </w:p>
        </w:tc>
        <w:tc>
          <w:tcPr>
            <w:tcW w:w="1040" w:type="dxa"/>
            <w:tcMar>
              <w:top w:w="0" w:type="dxa"/>
              <w:left w:w="70" w:type="dxa"/>
              <w:bottom w:w="0" w:type="dxa"/>
              <w:right w:w="70" w:type="dxa"/>
            </w:tcMar>
            <w:vAlign w:val="center"/>
            <w:hideMark/>
          </w:tcPr>
          <w:p w14:paraId="6B1B668B"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40,0%</w:t>
            </w:r>
            <w:proofErr w:type="gramEnd"/>
          </w:p>
        </w:tc>
        <w:tc>
          <w:tcPr>
            <w:tcW w:w="1043" w:type="dxa"/>
            <w:tcMar>
              <w:top w:w="0" w:type="dxa"/>
              <w:left w:w="70" w:type="dxa"/>
              <w:bottom w:w="0" w:type="dxa"/>
              <w:right w:w="70" w:type="dxa"/>
            </w:tcMar>
            <w:vAlign w:val="center"/>
            <w:hideMark/>
          </w:tcPr>
          <w:p w14:paraId="1539E5A0" w14:textId="77777777" w:rsidR="008F1B33" w:rsidRDefault="008F1B33">
            <w:pPr>
              <w:jc w:val="right"/>
              <w:rPr>
                <w:rFonts w:ascii="Calibri Light" w:hAnsi="Calibri Light" w:cs="Calibri Light"/>
                <w:color w:val="000000"/>
                <w:sz w:val="20"/>
                <w:szCs w:val="20"/>
                <w:lang w:eastAsia="cs-CZ"/>
              </w:rPr>
            </w:pPr>
            <w:proofErr w:type="gramStart"/>
            <w:r>
              <w:rPr>
                <w:rFonts w:ascii="Calibri Light" w:hAnsi="Calibri Light" w:cs="Calibri Light"/>
                <w:color w:val="000000"/>
                <w:sz w:val="20"/>
                <w:szCs w:val="20"/>
                <w:lang w:eastAsia="cs-CZ"/>
              </w:rPr>
              <w:t>40,2%</w:t>
            </w:r>
            <w:proofErr w:type="gramEnd"/>
          </w:p>
        </w:tc>
        <w:tc>
          <w:tcPr>
            <w:tcW w:w="1042" w:type="dxa"/>
            <w:tcMar>
              <w:top w:w="0" w:type="dxa"/>
              <w:left w:w="70" w:type="dxa"/>
              <w:bottom w:w="0" w:type="dxa"/>
              <w:right w:w="70" w:type="dxa"/>
            </w:tcMar>
            <w:vAlign w:val="center"/>
            <w:hideMark/>
          </w:tcPr>
          <w:p w14:paraId="692AD9CE" w14:textId="77777777" w:rsidR="008F1B33" w:rsidRDefault="008F1B33">
            <w:pPr>
              <w:jc w:val="center"/>
              <w:rPr>
                <w:rFonts w:ascii="Calibri Light" w:hAnsi="Calibri Light" w:cs="Calibri Light"/>
                <w:color w:val="000000"/>
                <w:sz w:val="20"/>
                <w:szCs w:val="20"/>
                <w:lang w:eastAsia="cs-CZ"/>
              </w:rPr>
            </w:pPr>
            <w:r>
              <w:rPr>
                <w:rFonts w:ascii="Calibri Light" w:hAnsi="Calibri Light" w:cs="Calibri Light"/>
                <w:color w:val="000000"/>
                <w:sz w:val="20"/>
                <w:szCs w:val="20"/>
                <w:lang w:eastAsia="cs-CZ"/>
              </w:rPr>
              <w:t xml:space="preserve">        </w:t>
            </w:r>
            <w:proofErr w:type="gramStart"/>
            <w:r>
              <w:rPr>
                <w:rFonts w:ascii="Calibri Light" w:hAnsi="Calibri Light" w:cs="Calibri Light"/>
                <w:color w:val="000000"/>
                <w:sz w:val="20"/>
                <w:szCs w:val="20"/>
                <w:lang w:eastAsia="cs-CZ"/>
              </w:rPr>
              <w:t>42,5%</w:t>
            </w:r>
            <w:proofErr w:type="gramEnd"/>
            <w:r>
              <w:rPr>
                <w:rFonts w:ascii="Calibri Light" w:hAnsi="Calibri Light" w:cs="Calibri Light"/>
                <w:color w:val="000000"/>
                <w:sz w:val="20"/>
                <w:szCs w:val="20"/>
                <w:lang w:eastAsia="cs-CZ"/>
              </w:rPr>
              <w:t xml:space="preserve">  </w:t>
            </w:r>
          </w:p>
        </w:tc>
        <w:tc>
          <w:tcPr>
            <w:tcW w:w="383" w:type="dxa"/>
            <w:vAlign w:val="center"/>
            <w:hideMark/>
          </w:tcPr>
          <w:p w14:paraId="2BF293E5" w14:textId="77777777" w:rsidR="008F1B33" w:rsidRDefault="008F1B33">
            <w:pPr>
              <w:rPr>
                <w:rFonts w:ascii="Calibri" w:hAnsi="Calibri" w:cs="Calibri"/>
              </w:rPr>
            </w:pPr>
            <w:r>
              <w:t> </w:t>
            </w:r>
          </w:p>
        </w:tc>
      </w:tr>
      <w:tr w:rsidR="008F1B33" w14:paraId="7DE2F0CB" w14:textId="77777777" w:rsidTr="00571B5E">
        <w:trPr>
          <w:trHeight w:val="804"/>
        </w:trPr>
        <w:tc>
          <w:tcPr>
            <w:tcW w:w="2260" w:type="dxa"/>
            <w:tcMar>
              <w:top w:w="0" w:type="dxa"/>
              <w:left w:w="70" w:type="dxa"/>
              <w:bottom w:w="0" w:type="dxa"/>
              <w:right w:w="70" w:type="dxa"/>
            </w:tcMar>
            <w:vAlign w:val="center"/>
          </w:tcPr>
          <w:p w14:paraId="76F76751" w14:textId="77777777" w:rsidR="008F1B33" w:rsidRDefault="008F1B33">
            <w:pPr>
              <w:rPr>
                <w:rFonts w:ascii="Calibri Light" w:hAnsi="Calibri Light" w:cs="Calibri Light"/>
                <w:b/>
                <w:bCs/>
                <w:color w:val="595959"/>
                <w:sz w:val="20"/>
                <w:szCs w:val="20"/>
                <w:lang w:eastAsia="cs-CZ"/>
              </w:rPr>
            </w:pPr>
          </w:p>
        </w:tc>
        <w:tc>
          <w:tcPr>
            <w:tcW w:w="1040" w:type="dxa"/>
            <w:tcMar>
              <w:top w:w="0" w:type="dxa"/>
              <w:left w:w="70" w:type="dxa"/>
              <w:bottom w:w="0" w:type="dxa"/>
              <w:right w:w="70" w:type="dxa"/>
            </w:tcMar>
            <w:vAlign w:val="center"/>
          </w:tcPr>
          <w:p w14:paraId="0C438A83" w14:textId="77777777" w:rsidR="008F1B33" w:rsidRDefault="008F1B33">
            <w:pPr>
              <w:jc w:val="right"/>
              <w:rPr>
                <w:rFonts w:ascii="Calibri Light" w:hAnsi="Calibri Light" w:cs="Calibri Light"/>
                <w:color w:val="000000"/>
                <w:sz w:val="20"/>
                <w:szCs w:val="20"/>
                <w:lang w:eastAsia="cs-CZ"/>
              </w:rPr>
            </w:pPr>
          </w:p>
        </w:tc>
        <w:tc>
          <w:tcPr>
            <w:tcW w:w="1040" w:type="dxa"/>
            <w:tcMar>
              <w:top w:w="0" w:type="dxa"/>
              <w:left w:w="70" w:type="dxa"/>
              <w:bottom w:w="0" w:type="dxa"/>
              <w:right w:w="70" w:type="dxa"/>
            </w:tcMar>
            <w:vAlign w:val="center"/>
          </w:tcPr>
          <w:p w14:paraId="16256F47" w14:textId="77777777" w:rsidR="008F1B33" w:rsidRDefault="008F1B33">
            <w:pPr>
              <w:jc w:val="right"/>
              <w:rPr>
                <w:rFonts w:ascii="Calibri Light" w:hAnsi="Calibri Light" w:cs="Calibri Light"/>
                <w:color w:val="000000"/>
                <w:sz w:val="20"/>
                <w:szCs w:val="20"/>
                <w:lang w:eastAsia="cs-CZ"/>
              </w:rPr>
            </w:pPr>
          </w:p>
        </w:tc>
        <w:tc>
          <w:tcPr>
            <w:tcW w:w="1040" w:type="dxa"/>
            <w:tcMar>
              <w:top w:w="0" w:type="dxa"/>
              <w:left w:w="70" w:type="dxa"/>
              <w:bottom w:w="0" w:type="dxa"/>
              <w:right w:w="70" w:type="dxa"/>
            </w:tcMar>
            <w:vAlign w:val="center"/>
          </w:tcPr>
          <w:p w14:paraId="352AA64C" w14:textId="77777777" w:rsidR="008F1B33" w:rsidRDefault="008F1B33">
            <w:pPr>
              <w:jc w:val="right"/>
              <w:rPr>
                <w:rFonts w:ascii="Calibri Light" w:hAnsi="Calibri Light" w:cs="Calibri Light"/>
                <w:color w:val="000000"/>
                <w:sz w:val="20"/>
                <w:szCs w:val="20"/>
                <w:lang w:eastAsia="cs-CZ"/>
              </w:rPr>
            </w:pPr>
          </w:p>
        </w:tc>
        <w:tc>
          <w:tcPr>
            <w:tcW w:w="1040" w:type="dxa"/>
            <w:tcMar>
              <w:top w:w="0" w:type="dxa"/>
              <w:left w:w="70" w:type="dxa"/>
              <w:bottom w:w="0" w:type="dxa"/>
              <w:right w:w="70" w:type="dxa"/>
            </w:tcMar>
            <w:vAlign w:val="center"/>
          </w:tcPr>
          <w:p w14:paraId="403A9198" w14:textId="77777777" w:rsidR="008F1B33" w:rsidRDefault="008F1B33">
            <w:pPr>
              <w:jc w:val="right"/>
              <w:rPr>
                <w:rFonts w:ascii="Calibri Light" w:hAnsi="Calibri Light" w:cs="Calibri Light"/>
                <w:color w:val="000000"/>
                <w:sz w:val="20"/>
                <w:szCs w:val="20"/>
                <w:lang w:eastAsia="cs-CZ"/>
              </w:rPr>
            </w:pPr>
          </w:p>
        </w:tc>
        <w:tc>
          <w:tcPr>
            <w:tcW w:w="1040" w:type="dxa"/>
            <w:tcMar>
              <w:top w:w="0" w:type="dxa"/>
              <w:left w:w="70" w:type="dxa"/>
              <w:bottom w:w="0" w:type="dxa"/>
              <w:right w:w="70" w:type="dxa"/>
            </w:tcMar>
            <w:vAlign w:val="center"/>
          </w:tcPr>
          <w:p w14:paraId="21F041D9" w14:textId="77777777" w:rsidR="008F1B33" w:rsidRDefault="008F1B33">
            <w:pPr>
              <w:jc w:val="right"/>
              <w:rPr>
                <w:rFonts w:ascii="Calibri Light" w:hAnsi="Calibri Light" w:cs="Calibri Light"/>
                <w:color w:val="000000"/>
                <w:sz w:val="20"/>
                <w:szCs w:val="20"/>
                <w:lang w:eastAsia="cs-CZ"/>
              </w:rPr>
            </w:pPr>
          </w:p>
        </w:tc>
        <w:tc>
          <w:tcPr>
            <w:tcW w:w="1043" w:type="dxa"/>
            <w:tcMar>
              <w:top w:w="0" w:type="dxa"/>
              <w:left w:w="70" w:type="dxa"/>
              <w:bottom w:w="0" w:type="dxa"/>
              <w:right w:w="70" w:type="dxa"/>
            </w:tcMar>
            <w:vAlign w:val="center"/>
          </w:tcPr>
          <w:p w14:paraId="191ADC34" w14:textId="77777777" w:rsidR="008F1B33" w:rsidRDefault="008F1B33">
            <w:pPr>
              <w:jc w:val="right"/>
              <w:rPr>
                <w:rFonts w:ascii="Calibri Light" w:hAnsi="Calibri Light" w:cs="Calibri Light"/>
                <w:color w:val="000000"/>
                <w:sz w:val="20"/>
                <w:szCs w:val="20"/>
                <w:lang w:eastAsia="cs-CZ"/>
              </w:rPr>
            </w:pPr>
          </w:p>
        </w:tc>
        <w:tc>
          <w:tcPr>
            <w:tcW w:w="1042" w:type="dxa"/>
            <w:tcMar>
              <w:top w:w="0" w:type="dxa"/>
              <w:left w:w="70" w:type="dxa"/>
              <w:bottom w:w="0" w:type="dxa"/>
              <w:right w:w="70" w:type="dxa"/>
            </w:tcMar>
            <w:vAlign w:val="center"/>
          </w:tcPr>
          <w:p w14:paraId="367E7D79" w14:textId="77777777" w:rsidR="008F1B33" w:rsidRDefault="008F1B33">
            <w:pPr>
              <w:jc w:val="center"/>
              <w:rPr>
                <w:rFonts w:ascii="Calibri Light" w:hAnsi="Calibri Light" w:cs="Calibri Light"/>
                <w:color w:val="000000"/>
                <w:sz w:val="20"/>
                <w:szCs w:val="20"/>
                <w:lang w:eastAsia="cs-CZ"/>
              </w:rPr>
            </w:pPr>
          </w:p>
        </w:tc>
        <w:tc>
          <w:tcPr>
            <w:tcW w:w="383" w:type="dxa"/>
            <w:vAlign w:val="center"/>
          </w:tcPr>
          <w:p w14:paraId="2DA068D8" w14:textId="77777777" w:rsidR="008F1B33" w:rsidRDefault="008F1B33"/>
        </w:tc>
      </w:tr>
    </w:tbl>
    <w:p w14:paraId="398CAA5D" w14:textId="24FF9889" w:rsidR="006C431D" w:rsidRPr="00F36A5F" w:rsidRDefault="006C431D" w:rsidP="006C431D">
      <w:pPr>
        <w:spacing w:after="120" w:line="240" w:lineRule="auto"/>
        <w:jc w:val="right"/>
        <w:rPr>
          <w:rFonts w:ascii="Arial" w:hAnsi="Arial" w:cs="Arial"/>
          <w:i/>
          <w:sz w:val="18"/>
        </w:rPr>
      </w:pPr>
      <w:bookmarkStart w:id="14" w:name="_Hlk137214920"/>
      <w:r w:rsidRPr="00F36A5F">
        <w:rPr>
          <w:rFonts w:ascii="Arial" w:hAnsi="Arial" w:cs="Arial"/>
          <w:i/>
          <w:sz w:val="18"/>
        </w:rPr>
        <w:t>Zdroj: MPSV</w:t>
      </w:r>
      <w:r w:rsidRPr="00F36A5F">
        <w:rPr>
          <w:rStyle w:val="Odkaznavysvtlivky"/>
          <w:rFonts w:ascii="Arial" w:hAnsi="Arial" w:cs="Arial"/>
          <w:i/>
          <w:sz w:val="18"/>
        </w:rPr>
        <w:endnoteReference w:id="35"/>
      </w:r>
    </w:p>
    <w:bookmarkEnd w:id="14"/>
    <w:p w14:paraId="57793B16" w14:textId="16784A99" w:rsidR="0054673D" w:rsidRPr="006C431D" w:rsidRDefault="006C431D" w:rsidP="006C431D">
      <w:pPr>
        <w:spacing w:before="240" w:after="120" w:line="360" w:lineRule="auto"/>
        <w:jc w:val="both"/>
        <w:rPr>
          <w:rFonts w:ascii="Arial" w:hAnsi="Arial" w:cs="Arial"/>
          <w:color w:val="FF0000"/>
          <w:sz w:val="24"/>
        </w:rPr>
      </w:pPr>
      <w:r>
        <w:rPr>
          <w:rFonts w:ascii="Arial" w:hAnsi="Arial" w:cs="Arial"/>
          <w:sz w:val="24"/>
        </w:rPr>
        <w:t xml:space="preserve">Od roku 2021 můžeme pozorovat mírné snížení počtu domácností pod hranicí chudoby. Vliv na to má i valorizace důchodů, </w:t>
      </w:r>
      <w:r w:rsidRPr="009062AE">
        <w:rPr>
          <w:rFonts w:ascii="Arial" w:hAnsi="Arial" w:cs="Arial"/>
          <w:sz w:val="24"/>
        </w:rPr>
        <w:t>která i chudší důchodce</w:t>
      </w:r>
      <w:r>
        <w:rPr>
          <w:rFonts w:ascii="Arial" w:hAnsi="Arial" w:cs="Arial"/>
          <w:sz w:val="24"/>
        </w:rPr>
        <w:t xml:space="preserve"> často</w:t>
      </w:r>
      <w:r w:rsidRPr="009062AE">
        <w:rPr>
          <w:rFonts w:ascii="Arial" w:hAnsi="Arial" w:cs="Arial"/>
          <w:sz w:val="24"/>
        </w:rPr>
        <w:t xml:space="preserve"> dostáv</w:t>
      </w:r>
      <w:r>
        <w:rPr>
          <w:rFonts w:ascii="Arial" w:hAnsi="Arial" w:cs="Arial"/>
          <w:sz w:val="24"/>
        </w:rPr>
        <w:t>á</w:t>
      </w:r>
      <w:r w:rsidRPr="009062AE">
        <w:rPr>
          <w:rFonts w:ascii="Arial" w:hAnsi="Arial" w:cs="Arial"/>
          <w:sz w:val="24"/>
        </w:rPr>
        <w:t xml:space="preserve"> těsně nad hranici chudob</w:t>
      </w:r>
      <w:r>
        <w:rPr>
          <w:rFonts w:ascii="Arial" w:hAnsi="Arial" w:cs="Arial"/>
          <w:sz w:val="24"/>
        </w:rPr>
        <w:t>y.</w:t>
      </w:r>
      <w:r>
        <w:rPr>
          <w:rStyle w:val="Odkaznavysvtlivky"/>
          <w:rFonts w:ascii="Arial" w:hAnsi="Arial"/>
          <w:sz w:val="24"/>
        </w:rPr>
        <w:endnoteReference w:id="36"/>
      </w:r>
      <w:r>
        <w:rPr>
          <w:rFonts w:ascii="Arial" w:hAnsi="Arial" w:cs="Arial"/>
          <w:sz w:val="24"/>
        </w:rPr>
        <w:t xml:space="preserve"> Riziko </w:t>
      </w:r>
      <w:r>
        <w:rPr>
          <w:rFonts w:ascii="Arial" w:hAnsi="Arial" w:cs="Arial"/>
          <w:b/>
          <w:bCs/>
          <w:sz w:val="24"/>
          <w:szCs w:val="24"/>
        </w:rPr>
        <w:t>o</w:t>
      </w:r>
      <w:r w:rsidRPr="00D87FF2">
        <w:rPr>
          <w:rFonts w:ascii="Arial" w:hAnsi="Arial" w:cs="Arial"/>
          <w:b/>
          <w:bCs/>
          <w:sz w:val="24"/>
          <w:szCs w:val="24"/>
        </w:rPr>
        <w:t>hrožení chudobou</w:t>
      </w:r>
      <w:r w:rsidRPr="00D87FF2">
        <w:rPr>
          <w:rFonts w:ascii="Arial" w:hAnsi="Arial" w:cs="Arial"/>
          <w:sz w:val="24"/>
          <w:szCs w:val="24"/>
        </w:rPr>
        <w:t xml:space="preserve"> </w:t>
      </w:r>
      <w:r w:rsidRPr="00875A89">
        <w:rPr>
          <w:rFonts w:ascii="Arial" w:hAnsi="Arial" w:cs="Arial"/>
          <w:b/>
          <w:bCs/>
          <w:sz w:val="24"/>
        </w:rPr>
        <w:t xml:space="preserve">osob, </w:t>
      </w:r>
      <w:r w:rsidRPr="00875A89">
        <w:rPr>
          <w:rFonts w:ascii="Arial" w:hAnsi="Arial" w:cs="Arial"/>
          <w:sz w:val="24"/>
        </w:rPr>
        <w:t xml:space="preserve">jejichž </w:t>
      </w:r>
      <w:r w:rsidRPr="00875A89">
        <w:rPr>
          <w:rFonts w:ascii="Arial" w:hAnsi="Arial" w:cs="Arial"/>
          <w:b/>
          <w:bCs/>
          <w:sz w:val="24"/>
        </w:rPr>
        <w:t>hlavním zdrojem p</w:t>
      </w:r>
      <w:r w:rsidR="00875A89">
        <w:rPr>
          <w:rFonts w:ascii="Arial" w:hAnsi="Arial" w:cs="Arial"/>
          <w:b/>
          <w:bCs/>
          <w:sz w:val="24"/>
        </w:rPr>
        <w:t>ří</w:t>
      </w:r>
      <w:r w:rsidRPr="00875A89">
        <w:rPr>
          <w:rFonts w:ascii="Arial" w:hAnsi="Arial" w:cs="Arial"/>
          <w:b/>
          <w:bCs/>
          <w:sz w:val="24"/>
        </w:rPr>
        <w:t xml:space="preserve">jmu </w:t>
      </w:r>
      <w:r w:rsidRPr="00875A89">
        <w:rPr>
          <w:rFonts w:ascii="Arial" w:hAnsi="Arial" w:cs="Arial"/>
          <w:sz w:val="24"/>
        </w:rPr>
        <w:t>je</w:t>
      </w:r>
      <w:r w:rsidRPr="00875A89">
        <w:rPr>
          <w:rFonts w:ascii="Arial" w:hAnsi="Arial" w:cs="Arial"/>
          <w:b/>
          <w:bCs/>
          <w:sz w:val="24"/>
        </w:rPr>
        <w:t xml:space="preserve"> starobní důchod, </w:t>
      </w:r>
      <w:r w:rsidRPr="00875A89">
        <w:rPr>
          <w:rFonts w:ascii="Arial" w:hAnsi="Arial" w:cs="Arial"/>
          <w:sz w:val="24"/>
        </w:rPr>
        <w:t>se</w:t>
      </w:r>
      <w:r w:rsidRPr="00875A89">
        <w:rPr>
          <w:rFonts w:ascii="Arial" w:hAnsi="Arial" w:cs="Arial"/>
          <w:b/>
          <w:bCs/>
          <w:sz w:val="24"/>
        </w:rPr>
        <w:t xml:space="preserve"> v roce 2022 zvýšilo na 16,7 %</w:t>
      </w:r>
      <w:r w:rsidR="00462348">
        <w:rPr>
          <w:rFonts w:ascii="Arial" w:hAnsi="Arial" w:cs="Arial"/>
          <w:b/>
          <w:bCs/>
          <w:sz w:val="24"/>
        </w:rPr>
        <w:t xml:space="preserve">, </w:t>
      </w:r>
      <w:r w:rsidR="00462348" w:rsidRPr="00462348">
        <w:rPr>
          <w:rFonts w:ascii="Arial" w:hAnsi="Arial" w:cs="Arial"/>
          <w:sz w:val="24"/>
        </w:rPr>
        <w:t>oproti 10,5</w:t>
      </w:r>
      <w:r w:rsidR="00462348" w:rsidRPr="00462348">
        <w:t> </w:t>
      </w:r>
      <w:r w:rsidR="00462348" w:rsidRPr="00462348">
        <w:rPr>
          <w:rFonts w:ascii="Arial" w:hAnsi="Arial" w:cs="Arial"/>
          <w:sz w:val="24"/>
        </w:rPr>
        <w:t>% v roce 2021</w:t>
      </w:r>
      <w:r w:rsidRPr="00875A89">
        <w:rPr>
          <w:rFonts w:ascii="Arial" w:hAnsi="Arial" w:cs="Arial"/>
          <w:b/>
          <w:bCs/>
          <w:sz w:val="24"/>
        </w:rPr>
        <w:t>.</w:t>
      </w:r>
      <w:r w:rsidRPr="00D87FF2">
        <w:rPr>
          <w:rFonts w:ascii="Arial" w:hAnsi="Arial" w:cs="Arial"/>
          <w:sz w:val="24"/>
        </w:rPr>
        <w:t xml:space="preserve"> </w:t>
      </w:r>
      <w:r w:rsidRPr="00A208E4">
        <w:rPr>
          <w:rFonts w:ascii="Arial" w:hAnsi="Arial" w:cs="Arial"/>
          <w:sz w:val="24"/>
        </w:rPr>
        <w:t xml:space="preserve">Zatímco ve věkové kategorii 50-64 let bylo chudobou </w:t>
      </w:r>
      <w:r w:rsidRPr="00247D9F">
        <w:rPr>
          <w:rFonts w:ascii="Arial" w:hAnsi="Arial" w:cs="Arial"/>
          <w:sz w:val="24"/>
        </w:rPr>
        <w:t xml:space="preserve">ohroženo </w:t>
      </w:r>
      <w:r>
        <w:rPr>
          <w:rFonts w:ascii="Arial" w:hAnsi="Arial" w:cs="Arial"/>
          <w:sz w:val="24"/>
        </w:rPr>
        <w:t>8,7 </w:t>
      </w:r>
      <w:r w:rsidRPr="00247D9F">
        <w:rPr>
          <w:rFonts w:ascii="Arial" w:hAnsi="Arial" w:cs="Arial"/>
          <w:sz w:val="24"/>
        </w:rPr>
        <w:t>%</w:t>
      </w:r>
      <w:r>
        <w:rPr>
          <w:rFonts w:ascii="Arial" w:hAnsi="Arial" w:cs="Arial"/>
          <w:sz w:val="24"/>
        </w:rPr>
        <w:t xml:space="preserve"> osob, v</w:t>
      </w:r>
      <w:r w:rsidRPr="00247D9F">
        <w:rPr>
          <w:rFonts w:ascii="Arial" w:hAnsi="Arial" w:cs="Arial"/>
          <w:sz w:val="24"/>
        </w:rPr>
        <w:t>e věk</w:t>
      </w:r>
      <w:r>
        <w:rPr>
          <w:rFonts w:ascii="Arial" w:hAnsi="Arial" w:cs="Arial"/>
          <w:sz w:val="24"/>
        </w:rPr>
        <w:t>ové kategorii</w:t>
      </w:r>
      <w:r w:rsidRPr="00247D9F">
        <w:rPr>
          <w:rFonts w:ascii="Arial" w:hAnsi="Arial" w:cs="Arial"/>
          <w:sz w:val="24"/>
        </w:rPr>
        <w:t xml:space="preserve"> od</w:t>
      </w:r>
      <w:r>
        <w:rPr>
          <w:rFonts w:ascii="Arial" w:hAnsi="Arial" w:cs="Arial"/>
          <w:sz w:val="24"/>
        </w:rPr>
        <w:t> </w:t>
      </w:r>
      <w:r w:rsidRPr="00247D9F">
        <w:rPr>
          <w:rFonts w:ascii="Arial" w:hAnsi="Arial" w:cs="Arial"/>
          <w:sz w:val="24"/>
        </w:rPr>
        <w:t>65</w:t>
      </w:r>
      <w:r>
        <w:rPr>
          <w:rFonts w:ascii="Arial" w:hAnsi="Arial" w:cs="Arial"/>
          <w:sz w:val="24"/>
        </w:rPr>
        <w:t>+</w:t>
      </w:r>
      <w:r w:rsidRPr="00247D9F">
        <w:rPr>
          <w:rFonts w:ascii="Arial" w:hAnsi="Arial" w:cs="Arial"/>
          <w:sz w:val="24"/>
        </w:rPr>
        <w:t xml:space="preserve"> </w:t>
      </w:r>
      <w:r>
        <w:rPr>
          <w:rFonts w:ascii="Arial" w:hAnsi="Arial" w:cs="Arial"/>
          <w:sz w:val="24"/>
        </w:rPr>
        <w:t>se jednalo o 16 %</w:t>
      </w:r>
      <w:r w:rsidRPr="00247D9F">
        <w:rPr>
          <w:rFonts w:ascii="Arial" w:hAnsi="Arial" w:cs="Arial"/>
          <w:sz w:val="24"/>
        </w:rPr>
        <w:t>.</w:t>
      </w:r>
      <w:r>
        <w:rPr>
          <w:rStyle w:val="Odkaznavysvtlivky"/>
          <w:rFonts w:ascii="Arial" w:hAnsi="Arial"/>
          <w:sz w:val="24"/>
        </w:rPr>
        <w:endnoteReference w:id="37"/>
      </w:r>
      <w:r>
        <w:rPr>
          <w:rFonts w:ascii="Arial" w:hAnsi="Arial" w:cs="Arial"/>
          <w:color w:val="FF0000"/>
          <w:sz w:val="24"/>
        </w:rPr>
        <w:t xml:space="preserve"> </w:t>
      </w:r>
    </w:p>
    <w:p w14:paraId="6AC3E5E6" w14:textId="77777777" w:rsidR="006C431D" w:rsidRPr="00EB0C10" w:rsidRDefault="006C431D" w:rsidP="006C431D">
      <w:pPr>
        <w:spacing w:before="240" w:after="120" w:line="360" w:lineRule="auto"/>
        <w:jc w:val="both"/>
        <w:rPr>
          <w:rFonts w:ascii="Arial" w:hAnsi="Arial" w:cs="Arial"/>
          <w:b/>
          <w:bCs/>
          <w:color w:val="5B9BD5" w:themeColor="accent1"/>
          <w:sz w:val="20"/>
          <w:szCs w:val="20"/>
        </w:rPr>
      </w:pPr>
      <w:r>
        <w:rPr>
          <w:rFonts w:ascii="Arial" w:hAnsi="Arial" w:cs="Arial"/>
          <w:noProof/>
          <w:sz w:val="24"/>
        </w:rPr>
        <mc:AlternateContent>
          <mc:Choice Requires="wps">
            <w:drawing>
              <wp:anchor distT="0" distB="0" distL="114300" distR="114300" simplePos="0" relativeHeight="251660288" behindDoc="0" locked="0" layoutInCell="1" allowOverlap="1" wp14:anchorId="41636C5B" wp14:editId="1E40B89A">
                <wp:simplePos x="0" y="0"/>
                <wp:positionH relativeFrom="column">
                  <wp:posOffset>-167005</wp:posOffset>
                </wp:positionH>
                <wp:positionV relativeFrom="paragraph">
                  <wp:posOffset>431800</wp:posOffset>
                </wp:positionV>
                <wp:extent cx="6505575" cy="4019550"/>
                <wp:effectExtent l="0" t="0" r="28575" b="19050"/>
                <wp:wrapNone/>
                <wp:docPr id="9" name="Obdélník 9"/>
                <wp:cNvGraphicFramePr/>
                <a:graphic xmlns:a="http://schemas.openxmlformats.org/drawingml/2006/main">
                  <a:graphicData uri="http://schemas.microsoft.com/office/word/2010/wordprocessingShape">
                    <wps:wsp>
                      <wps:cNvSpPr/>
                      <wps:spPr>
                        <a:xfrm>
                          <a:off x="0" y="0"/>
                          <a:ext cx="6505575" cy="401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A0AF5B9" id="Obdélník 9" o:spid="_x0000_s1026" style="position:absolute;margin-left:-13.15pt;margin-top:34pt;width:512.25pt;height:3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" filled="f" strokecolor="black [3213]" strokeweight="1pt"/>
            </w:pict>
          </mc:Fallback>
        </mc:AlternateContent>
      </w:r>
      <w:r w:rsidRPr="00EB0C10">
        <w:rPr>
          <w:rFonts w:ascii="Arial" w:hAnsi="Arial" w:cs="Arial"/>
          <w:b/>
          <w:bCs/>
          <w:color w:val="5B9BD5" w:themeColor="accent1"/>
          <w:sz w:val="20"/>
          <w:szCs w:val="20"/>
        </w:rPr>
        <w:t>Graf č. 3: Vývoj příjmové chudoby domácností senior</w:t>
      </w:r>
      <w:r>
        <w:rPr>
          <w:rFonts w:ascii="Arial" w:hAnsi="Arial" w:cs="Arial"/>
          <w:b/>
          <w:bCs/>
          <w:color w:val="5B9BD5" w:themeColor="accent1"/>
          <w:sz w:val="20"/>
          <w:szCs w:val="20"/>
        </w:rPr>
        <w:t>ů</w:t>
      </w:r>
    </w:p>
    <w:p w14:paraId="78579C77" w14:textId="77777777" w:rsidR="006C431D" w:rsidRDefault="006C431D" w:rsidP="006C431D">
      <w:pPr>
        <w:spacing w:after="120" w:line="360" w:lineRule="auto"/>
        <w:jc w:val="center"/>
        <w:rPr>
          <w:rFonts w:ascii="Arial" w:hAnsi="Arial" w:cs="Arial"/>
          <w:sz w:val="24"/>
        </w:rPr>
      </w:pPr>
      <w:r w:rsidRPr="009062AE">
        <w:rPr>
          <w:rFonts w:ascii="Arial" w:hAnsi="Arial" w:cs="Arial"/>
          <w:noProof/>
          <w:sz w:val="24"/>
        </w:rPr>
        <w:drawing>
          <wp:inline distT="0" distB="0" distL="0" distR="0" wp14:anchorId="33F6A1BF" wp14:editId="17A7DFE6">
            <wp:extent cx="6370228" cy="25431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72663" cy="2544147"/>
                    </a:xfrm>
                    <a:prstGeom prst="rect">
                      <a:avLst/>
                    </a:prstGeom>
                  </pic:spPr>
                </pic:pic>
              </a:graphicData>
            </a:graphic>
          </wp:inline>
        </w:drawing>
      </w:r>
    </w:p>
    <w:p w14:paraId="541A815B" w14:textId="77777777" w:rsidR="006C431D" w:rsidRPr="00F53B35" w:rsidRDefault="006C431D" w:rsidP="006C431D">
      <w:pPr>
        <w:jc w:val="both"/>
        <w:rPr>
          <w:rFonts w:ascii="Arial" w:hAnsi="Arial" w:cs="Arial"/>
          <w:sz w:val="20"/>
          <w:szCs w:val="20"/>
        </w:rPr>
      </w:pPr>
      <w:r w:rsidRPr="00F53B35">
        <w:rPr>
          <w:rFonts w:ascii="Arial" w:hAnsi="Arial" w:cs="Arial"/>
          <w:b/>
          <w:bCs/>
          <w:color w:val="999799"/>
          <w:sz w:val="20"/>
          <w:szCs w:val="20"/>
        </w:rPr>
        <w:t xml:space="preserve">Standardně zajištění – </w:t>
      </w:r>
      <w:proofErr w:type="gramStart"/>
      <w:r w:rsidRPr="00F53B35">
        <w:rPr>
          <w:rFonts w:ascii="Arial" w:hAnsi="Arial" w:cs="Arial"/>
          <w:sz w:val="20"/>
          <w:szCs w:val="20"/>
        </w:rPr>
        <w:t>Patří</w:t>
      </w:r>
      <w:proofErr w:type="gramEnd"/>
      <w:r w:rsidRPr="00F53B35">
        <w:rPr>
          <w:rFonts w:ascii="Arial" w:hAnsi="Arial" w:cs="Arial"/>
          <w:sz w:val="20"/>
          <w:szCs w:val="20"/>
        </w:rPr>
        <w:t xml:space="preserve"> k vyšší příjmové polovině českých domácností či mají úspory, které by jim stačily na více než měsíc života.</w:t>
      </w:r>
    </w:p>
    <w:p w14:paraId="17E17147" w14:textId="77777777" w:rsidR="006C431D" w:rsidRPr="00F53B35" w:rsidRDefault="006C431D" w:rsidP="006C431D">
      <w:pPr>
        <w:jc w:val="both"/>
        <w:rPr>
          <w:rFonts w:ascii="Arial" w:hAnsi="Arial" w:cs="Arial"/>
          <w:sz w:val="20"/>
          <w:szCs w:val="20"/>
        </w:rPr>
      </w:pPr>
      <w:r w:rsidRPr="00F53B35">
        <w:rPr>
          <w:rFonts w:ascii="Arial" w:hAnsi="Arial" w:cs="Arial"/>
          <w:b/>
          <w:bCs/>
          <w:color w:val="660033"/>
          <w:sz w:val="20"/>
          <w:szCs w:val="20"/>
        </w:rPr>
        <w:t xml:space="preserve">Nízkopříjmoví bez větších úspor </w:t>
      </w:r>
      <w:r w:rsidRPr="00F53B35">
        <w:rPr>
          <w:rFonts w:ascii="Arial" w:hAnsi="Arial" w:cs="Arial"/>
          <w:sz w:val="20"/>
          <w:szCs w:val="20"/>
        </w:rPr>
        <w:t xml:space="preserve">– Čistý měsíční příjem jejich domácnosti je nižší než medián a zároveň mají úspory, které </w:t>
      </w:r>
      <w:proofErr w:type="gramStart"/>
      <w:r w:rsidRPr="00F53B35">
        <w:rPr>
          <w:rFonts w:ascii="Arial" w:hAnsi="Arial" w:cs="Arial"/>
          <w:sz w:val="20"/>
          <w:szCs w:val="20"/>
        </w:rPr>
        <w:t>vydrží</w:t>
      </w:r>
      <w:proofErr w:type="gramEnd"/>
      <w:r w:rsidRPr="00F53B35">
        <w:rPr>
          <w:rFonts w:ascii="Arial" w:hAnsi="Arial" w:cs="Arial"/>
          <w:sz w:val="20"/>
          <w:szCs w:val="20"/>
        </w:rPr>
        <w:t xml:space="preserve"> maximálně na měsíc.</w:t>
      </w:r>
    </w:p>
    <w:p w14:paraId="3EC375E1" w14:textId="77777777" w:rsidR="006C431D" w:rsidRPr="00F53B35" w:rsidRDefault="006C431D" w:rsidP="006C431D">
      <w:pPr>
        <w:jc w:val="both"/>
        <w:rPr>
          <w:rFonts w:ascii="Arial" w:hAnsi="Arial" w:cs="Arial"/>
          <w:color w:val="DD505B"/>
          <w:sz w:val="20"/>
          <w:szCs w:val="20"/>
        </w:rPr>
      </w:pPr>
      <w:r w:rsidRPr="00F53B35">
        <w:rPr>
          <w:rFonts w:ascii="Arial" w:hAnsi="Arial" w:cs="Arial"/>
          <w:b/>
          <w:bCs/>
          <w:color w:val="DD505B"/>
          <w:sz w:val="20"/>
          <w:szCs w:val="20"/>
        </w:rPr>
        <w:lastRenderedPageBreak/>
        <w:t xml:space="preserve">V příjmové chudobě – </w:t>
      </w:r>
      <w:r w:rsidRPr="00F53B35">
        <w:rPr>
          <w:rFonts w:ascii="Arial" w:hAnsi="Arial" w:cs="Arial"/>
          <w:sz w:val="20"/>
          <w:szCs w:val="20"/>
        </w:rPr>
        <w:t>Čistý měsíční příjem je pod hranicí příjmové chudoby z roku 2019 zvýšenou o inflaci</w:t>
      </w:r>
      <w:r w:rsidRPr="00F53B35">
        <w:rPr>
          <w:rFonts w:ascii="Arial" w:hAnsi="Arial" w:cs="Arial"/>
          <w:color w:val="7C8A92"/>
          <w:sz w:val="20"/>
          <w:szCs w:val="20"/>
        </w:rPr>
        <w:t>.</w:t>
      </w:r>
    </w:p>
    <w:p w14:paraId="6B8DFE58" w14:textId="77777777" w:rsidR="006C431D" w:rsidRPr="00F36A5F" w:rsidRDefault="006C431D" w:rsidP="006C431D">
      <w:pPr>
        <w:spacing w:before="240" w:after="120" w:line="360" w:lineRule="auto"/>
        <w:jc w:val="both"/>
        <w:rPr>
          <w:rFonts w:ascii="Arial" w:hAnsi="Arial" w:cs="Arial"/>
          <w:i/>
          <w:iCs/>
          <w:sz w:val="18"/>
          <w:szCs w:val="18"/>
        </w:rPr>
      </w:pPr>
      <w:r w:rsidRPr="00F36A5F">
        <w:rPr>
          <w:rFonts w:ascii="Arial" w:hAnsi="Arial" w:cs="Arial"/>
          <w:i/>
          <w:iCs/>
          <w:sz w:val="18"/>
          <w:szCs w:val="18"/>
        </w:rPr>
        <w:t>Zdroj: iRozhlas</w:t>
      </w:r>
      <w:r>
        <w:rPr>
          <w:rStyle w:val="Odkaznavysvtlivky"/>
          <w:rFonts w:ascii="Arial" w:hAnsi="Arial"/>
          <w:i/>
          <w:iCs/>
          <w:sz w:val="18"/>
          <w:szCs w:val="18"/>
        </w:rPr>
        <w:endnoteReference w:id="38"/>
      </w:r>
    </w:p>
    <w:p w14:paraId="43F7CBD1" w14:textId="77777777" w:rsidR="0054673D" w:rsidRPr="00CA5CA0" w:rsidRDefault="0054673D" w:rsidP="0054673D">
      <w:pPr>
        <w:spacing w:after="120" w:line="360" w:lineRule="auto"/>
        <w:jc w:val="both"/>
        <w:rPr>
          <w:rFonts w:ascii="Arial" w:hAnsi="Arial" w:cs="Arial"/>
          <w:sz w:val="24"/>
        </w:rPr>
      </w:pPr>
    </w:p>
    <w:p w14:paraId="13921044" w14:textId="153AAC28" w:rsidR="0054673D" w:rsidRPr="006C431D" w:rsidRDefault="006C431D" w:rsidP="005D4996">
      <w:pPr>
        <w:spacing w:after="120" w:line="360" w:lineRule="auto"/>
        <w:jc w:val="both"/>
        <w:rPr>
          <w:rFonts w:ascii="Arial" w:hAnsi="Arial" w:cs="Arial"/>
          <w:sz w:val="24"/>
        </w:rPr>
      </w:pPr>
      <w:r w:rsidRPr="002D3BCE">
        <w:rPr>
          <w:rFonts w:ascii="Arial" w:hAnsi="Arial" w:cs="Arial"/>
          <w:sz w:val="24"/>
        </w:rPr>
        <w:t xml:space="preserve">V roce 2022 domácnosti v průměru vydávaly za </w:t>
      </w:r>
      <w:r w:rsidRPr="002D3BCE">
        <w:rPr>
          <w:rFonts w:ascii="Arial" w:hAnsi="Arial" w:cs="Arial"/>
          <w:b/>
          <w:bCs/>
          <w:sz w:val="24"/>
        </w:rPr>
        <w:t>bydlení</w:t>
      </w:r>
      <w:r w:rsidR="009C0281">
        <w:rPr>
          <w:rFonts w:ascii="Arial" w:hAnsi="Arial" w:cs="Arial"/>
          <w:b/>
          <w:bCs/>
          <w:sz w:val="24"/>
        </w:rPr>
        <w:t xml:space="preserve"> </w:t>
      </w:r>
      <w:r w:rsidR="009C0281" w:rsidRPr="009C0281">
        <w:rPr>
          <w:rFonts w:ascii="Arial" w:hAnsi="Arial" w:cs="Arial"/>
          <w:sz w:val="24"/>
        </w:rPr>
        <w:t>(</w:t>
      </w:r>
      <w:r w:rsidRPr="009C0281">
        <w:rPr>
          <w:rFonts w:ascii="Arial" w:hAnsi="Arial" w:cs="Arial"/>
          <w:sz w:val="24"/>
        </w:rPr>
        <w:t>včetně energií</w:t>
      </w:r>
      <w:r w:rsidR="009C0281" w:rsidRPr="009C0281">
        <w:rPr>
          <w:rFonts w:ascii="Arial" w:hAnsi="Arial" w:cs="Arial"/>
          <w:sz w:val="24"/>
        </w:rPr>
        <w:t>)</w:t>
      </w:r>
      <w:r w:rsidRPr="009C0281">
        <w:rPr>
          <w:rFonts w:ascii="Arial" w:hAnsi="Arial" w:cs="Arial"/>
          <w:sz w:val="24"/>
        </w:rPr>
        <w:t xml:space="preserve"> </w:t>
      </w:r>
      <w:r w:rsidRPr="009C0281">
        <w:rPr>
          <w:rFonts w:ascii="Arial" w:hAnsi="Arial" w:cs="Arial"/>
          <w:b/>
          <w:bCs/>
          <w:sz w:val="24"/>
        </w:rPr>
        <w:t>31 % příjmu</w:t>
      </w:r>
      <w:r w:rsidR="009C0281">
        <w:rPr>
          <w:rFonts w:ascii="Arial" w:hAnsi="Arial" w:cs="Arial"/>
          <w:sz w:val="24"/>
        </w:rPr>
        <w:t>, z</w:t>
      </w:r>
      <w:r w:rsidRPr="002D3BCE">
        <w:rPr>
          <w:rFonts w:ascii="Arial" w:hAnsi="Arial" w:cs="Arial"/>
          <w:sz w:val="24"/>
        </w:rPr>
        <w:t xml:space="preserve">atímco domácnosti důchodců zhruba 32 % příjmu. Náklady </w:t>
      </w:r>
      <w:r w:rsidRPr="002D3BCE">
        <w:rPr>
          <w:rFonts w:ascii="Arial" w:hAnsi="Arial" w:cs="Arial"/>
          <w:b/>
          <w:bCs/>
          <w:sz w:val="24"/>
        </w:rPr>
        <w:t>na potraviny</w:t>
      </w:r>
      <w:r w:rsidRPr="002D3BCE">
        <w:rPr>
          <w:rFonts w:ascii="Arial" w:hAnsi="Arial" w:cs="Arial"/>
          <w:sz w:val="24"/>
        </w:rPr>
        <w:t xml:space="preserve"> průměrné domácnosti tvořily zhruba 48 % příjmu, u důchodců </w:t>
      </w:r>
      <w:r w:rsidRPr="009C0281">
        <w:rPr>
          <w:rFonts w:ascii="Arial" w:hAnsi="Arial" w:cs="Arial"/>
          <w:b/>
          <w:bCs/>
          <w:sz w:val="24"/>
        </w:rPr>
        <w:t>53 % příjmu</w:t>
      </w:r>
      <w:r w:rsidRPr="002D3BCE">
        <w:rPr>
          <w:rFonts w:ascii="Arial" w:hAnsi="Arial" w:cs="Arial"/>
          <w:sz w:val="24"/>
        </w:rPr>
        <w:t>.</w:t>
      </w:r>
      <w:r w:rsidRPr="002D3BCE">
        <w:rPr>
          <w:rStyle w:val="Odkaznavysvtlivky"/>
          <w:rFonts w:ascii="Arial" w:hAnsi="Arial"/>
          <w:sz w:val="24"/>
        </w:rPr>
        <w:endnoteReference w:id="39"/>
      </w:r>
    </w:p>
    <w:p w14:paraId="6751721A" w14:textId="77777777" w:rsidR="005D4996" w:rsidRPr="0060793E" w:rsidRDefault="005D4996" w:rsidP="005D4996">
      <w:pPr>
        <w:pStyle w:val="Nadpis2"/>
        <w:spacing w:after="120"/>
        <w:jc w:val="both"/>
      </w:pPr>
      <w:bookmarkStart w:id="15" w:name="_Toc102641992"/>
      <w:bookmarkStart w:id="16" w:name="_Toc137819481"/>
      <w:r w:rsidRPr="002D3BCE">
        <w:t>C Bydlení</w:t>
      </w:r>
      <w:bookmarkEnd w:id="15"/>
      <w:bookmarkEnd w:id="16"/>
    </w:p>
    <w:p w14:paraId="7001DCA0" w14:textId="34EF2EDF" w:rsidR="006C431D" w:rsidRDefault="006C431D" w:rsidP="006C431D">
      <w:pPr>
        <w:spacing w:after="120" w:line="360" w:lineRule="auto"/>
        <w:jc w:val="both"/>
        <w:rPr>
          <w:rFonts w:ascii="Arial" w:hAnsi="Arial" w:cs="Arial"/>
          <w:sz w:val="24"/>
          <w:szCs w:val="20"/>
        </w:rPr>
      </w:pPr>
      <w:bookmarkStart w:id="17" w:name="_Toc102641993"/>
      <w:r w:rsidRPr="006C431D">
        <w:rPr>
          <w:rFonts w:ascii="Arial" w:hAnsi="Arial" w:cs="Arial"/>
          <w:sz w:val="24"/>
        </w:rPr>
        <w:t>V roce 2022 náklady na bydlení důchodců tvořily vyšší část z čistých příjmů než u zaměstnanců a u OSVČ. Podle subjektivního hodnocení zátěže byla v roce 2022 více než čtvrtina d</w:t>
      </w:r>
      <w:r w:rsidRPr="006C431D">
        <w:rPr>
          <w:rFonts w:ascii="Arial" w:hAnsi="Arial" w:cs="Arial"/>
          <w:sz w:val="24"/>
          <w:szCs w:val="20"/>
        </w:rPr>
        <w:t>omácností (26 %) výrazně zatížena náklady na bydlení, včetně seniorů.</w:t>
      </w:r>
      <w:r>
        <w:rPr>
          <w:rFonts w:ascii="Arial" w:hAnsi="Arial" w:cs="Arial"/>
          <w:sz w:val="24"/>
          <w:szCs w:val="20"/>
        </w:rPr>
        <w:t xml:space="preserve"> </w:t>
      </w:r>
      <w:r w:rsidRPr="006C431D">
        <w:rPr>
          <w:rFonts w:ascii="Arial" w:hAnsi="Arial" w:cs="Arial"/>
          <w:b/>
          <w:bCs/>
          <w:sz w:val="24"/>
          <w:szCs w:val="20"/>
        </w:rPr>
        <w:t>Přes 40 % samostatně žijících seniorů, kteří jsou zatíženi náklady na bydlení, žije v tzv. příjmové chudobě</w:t>
      </w:r>
      <w:r>
        <w:rPr>
          <w:rFonts w:ascii="Arial" w:hAnsi="Arial" w:cs="Arial"/>
          <w:sz w:val="24"/>
          <w:szCs w:val="20"/>
        </w:rPr>
        <w:t xml:space="preserve">. U seniorů, kteří žijí s více členy v domácnosti, se míry zatížení výrazně </w:t>
      </w:r>
      <w:proofErr w:type="gramStart"/>
      <w:r>
        <w:rPr>
          <w:rFonts w:ascii="Arial" w:hAnsi="Arial" w:cs="Arial"/>
          <w:sz w:val="24"/>
          <w:szCs w:val="20"/>
        </w:rPr>
        <w:t>liší</w:t>
      </w:r>
      <w:proofErr w:type="gramEnd"/>
      <w:r>
        <w:rPr>
          <w:rFonts w:ascii="Arial" w:hAnsi="Arial" w:cs="Arial"/>
          <w:sz w:val="24"/>
          <w:szCs w:val="20"/>
        </w:rPr>
        <w:t>.</w:t>
      </w:r>
    </w:p>
    <w:p w14:paraId="19D07F00" w14:textId="77777777" w:rsidR="006C431D" w:rsidRPr="00BC53D7" w:rsidRDefault="006C431D" w:rsidP="006C431D">
      <w:pPr>
        <w:spacing w:after="120" w:line="360" w:lineRule="auto"/>
        <w:jc w:val="both"/>
        <w:rPr>
          <w:rFonts w:ascii="Arial" w:hAnsi="Arial" w:cs="Arial"/>
          <w:b/>
          <w:bCs/>
          <w:color w:val="5B9BD5" w:themeColor="accent1"/>
          <w:sz w:val="20"/>
          <w:szCs w:val="20"/>
        </w:rPr>
      </w:pPr>
      <w:r w:rsidRPr="00BC53D7">
        <w:rPr>
          <w:rFonts w:ascii="Arial" w:hAnsi="Arial" w:cs="Arial"/>
          <w:b/>
          <w:bCs/>
          <w:color w:val="5B9BD5" w:themeColor="accent1"/>
          <w:sz w:val="20"/>
          <w:szCs w:val="20"/>
        </w:rPr>
        <w:t>Graf č.4: Růst podílu domácností seniorů výrazně zatížených výdaji na bydlení</w:t>
      </w:r>
    </w:p>
    <w:p w14:paraId="6EA4EFA6" w14:textId="77777777" w:rsidR="006C431D" w:rsidRPr="00E050BE" w:rsidRDefault="006C431D" w:rsidP="006C431D">
      <w:pPr>
        <w:spacing w:after="120" w:line="360" w:lineRule="auto"/>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2336" behindDoc="0" locked="0" layoutInCell="1" allowOverlap="1" wp14:anchorId="27348CEC" wp14:editId="260EFCCC">
                <wp:simplePos x="0" y="0"/>
                <wp:positionH relativeFrom="column">
                  <wp:posOffset>-167005</wp:posOffset>
                </wp:positionH>
                <wp:positionV relativeFrom="paragraph">
                  <wp:posOffset>111760</wp:posOffset>
                </wp:positionV>
                <wp:extent cx="6124575" cy="378142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6124575" cy="378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3037720" id="Obdélník 7" o:spid="_x0000_s1026" style="position:absolute;margin-left:-13.15pt;margin-top:8.8pt;width:482.25pt;height:29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wOfQIAAF8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" filled="f" strokecolor="black [3213]" strokeweight="1pt"/>
            </w:pict>
          </mc:Fallback>
        </mc:AlternateContent>
      </w:r>
      <w:r w:rsidRPr="009A414E">
        <w:rPr>
          <w:rFonts w:ascii="Arial" w:hAnsi="Arial" w:cs="Arial"/>
          <w:noProof/>
          <w:sz w:val="24"/>
        </w:rPr>
        <w:drawing>
          <wp:inline distT="0" distB="0" distL="0" distR="0" wp14:anchorId="2804E764" wp14:editId="5F2DB387">
            <wp:extent cx="5245370" cy="240677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5370" cy="2406774"/>
                    </a:xfrm>
                    <a:prstGeom prst="rect">
                      <a:avLst/>
                    </a:prstGeom>
                  </pic:spPr>
                </pic:pic>
              </a:graphicData>
            </a:graphic>
          </wp:inline>
        </w:drawing>
      </w:r>
    </w:p>
    <w:p w14:paraId="488AAC8A" w14:textId="77777777" w:rsidR="006C431D" w:rsidRPr="00E050BE" w:rsidRDefault="006C431D" w:rsidP="006C431D">
      <w:pPr>
        <w:jc w:val="both"/>
        <w:rPr>
          <w:rFonts w:ascii="Arial" w:hAnsi="Arial" w:cs="Arial"/>
          <w:b/>
          <w:bCs/>
          <w:sz w:val="20"/>
          <w:szCs w:val="20"/>
        </w:rPr>
      </w:pPr>
      <w:r w:rsidRPr="00E050BE">
        <w:rPr>
          <w:rFonts w:ascii="Arial" w:hAnsi="Arial" w:cs="Arial"/>
          <w:b/>
          <w:bCs/>
          <w:color w:val="999799"/>
          <w:sz w:val="20"/>
          <w:szCs w:val="20"/>
        </w:rPr>
        <w:t>Málo zatížení (do 25 % příjmu na bydlení)</w:t>
      </w:r>
    </w:p>
    <w:p w14:paraId="0B0A0014" w14:textId="77777777" w:rsidR="006C431D" w:rsidRPr="00E050BE" w:rsidRDefault="006C431D" w:rsidP="006C431D">
      <w:pPr>
        <w:jc w:val="both"/>
        <w:rPr>
          <w:rFonts w:ascii="Arial" w:hAnsi="Arial" w:cs="Arial"/>
          <w:b/>
          <w:bCs/>
          <w:color w:val="673349"/>
          <w:sz w:val="20"/>
          <w:szCs w:val="20"/>
        </w:rPr>
      </w:pPr>
      <w:r w:rsidRPr="00E050BE">
        <w:rPr>
          <w:rFonts w:ascii="Arial" w:hAnsi="Arial" w:cs="Arial"/>
          <w:b/>
          <w:bCs/>
          <w:color w:val="673349"/>
          <w:sz w:val="20"/>
          <w:szCs w:val="20"/>
        </w:rPr>
        <w:t>Středně zatížení (25 až 40 % příjmu na bydlení</w:t>
      </w:r>
    </w:p>
    <w:p w14:paraId="19B1BFDB" w14:textId="77777777" w:rsidR="006C431D" w:rsidRDefault="006C431D" w:rsidP="006C431D">
      <w:pPr>
        <w:jc w:val="both"/>
        <w:rPr>
          <w:rFonts w:ascii="Arial" w:hAnsi="Arial" w:cs="Arial"/>
          <w:color w:val="273E47"/>
          <w:sz w:val="20"/>
          <w:szCs w:val="20"/>
        </w:rPr>
      </w:pPr>
      <w:r w:rsidRPr="00E050BE">
        <w:rPr>
          <w:rFonts w:ascii="Arial" w:hAnsi="Arial" w:cs="Arial"/>
          <w:b/>
          <w:bCs/>
          <w:color w:val="DD505B"/>
          <w:sz w:val="20"/>
          <w:szCs w:val="20"/>
        </w:rPr>
        <w:t>Vysoce zatížení (přes 40 % příjmu na bydlení)</w:t>
      </w:r>
      <w:r w:rsidRPr="00E050BE">
        <w:rPr>
          <w:rFonts w:ascii="Arial" w:hAnsi="Arial" w:cs="Arial"/>
          <w:b/>
          <w:bCs/>
          <w:sz w:val="20"/>
          <w:szCs w:val="20"/>
        </w:rPr>
        <w:t xml:space="preserve"> - </w:t>
      </w:r>
      <w:r w:rsidRPr="00E050BE">
        <w:rPr>
          <w:rFonts w:ascii="Arial" w:hAnsi="Arial" w:cs="Arial"/>
          <w:color w:val="273E47"/>
          <w:sz w:val="20"/>
          <w:szCs w:val="20"/>
        </w:rPr>
        <w:t xml:space="preserve">Výdaje na bydlení zahrnují veškeré platby za energie (elektřina, plyn, dálkové teplo), pevná paliva (dřevo, uhlí), vodu (vodné, stočné), pravidelné poplatky (údržba domu, odvoz odpadu, příspěvky do fondu oprav atd.), nájem a splátky hypotéky. V zahrnutí splátek do výdajů je rozdíl proti ČSU a </w:t>
      </w:r>
      <w:proofErr w:type="spellStart"/>
      <w:r w:rsidRPr="00E050BE">
        <w:rPr>
          <w:rFonts w:ascii="Arial" w:hAnsi="Arial" w:cs="Arial"/>
          <w:color w:val="273E47"/>
          <w:sz w:val="20"/>
          <w:szCs w:val="20"/>
        </w:rPr>
        <w:t>Eurostatu</w:t>
      </w:r>
      <w:proofErr w:type="spellEnd"/>
      <w:r w:rsidRPr="00E050BE">
        <w:rPr>
          <w:rFonts w:ascii="Arial" w:hAnsi="Arial" w:cs="Arial"/>
          <w:color w:val="273E47"/>
          <w:sz w:val="20"/>
          <w:szCs w:val="20"/>
        </w:rPr>
        <w:t>, které je nezahrnují či zahrnují jen úroky hypotéky.</w:t>
      </w:r>
    </w:p>
    <w:p w14:paraId="5319FE10" w14:textId="77777777" w:rsidR="006C431D" w:rsidRPr="00F36A5F" w:rsidRDefault="006C431D" w:rsidP="006C431D">
      <w:pPr>
        <w:spacing w:before="240"/>
        <w:jc w:val="both"/>
        <w:rPr>
          <w:rFonts w:ascii="Arial" w:hAnsi="Arial" w:cs="Arial"/>
          <w:b/>
          <w:bCs/>
          <w:i/>
          <w:iCs/>
          <w:color w:val="DD505B"/>
          <w:sz w:val="18"/>
          <w:szCs w:val="18"/>
        </w:rPr>
      </w:pPr>
      <w:r w:rsidRPr="00F36A5F">
        <w:rPr>
          <w:rFonts w:ascii="Arial" w:hAnsi="Arial" w:cs="Arial"/>
          <w:i/>
          <w:iCs/>
          <w:color w:val="273E47"/>
          <w:sz w:val="18"/>
          <w:szCs w:val="18"/>
        </w:rPr>
        <w:t>Zdroj: iRozhlas</w:t>
      </w:r>
      <w:r>
        <w:rPr>
          <w:rStyle w:val="Odkaznavysvtlivky"/>
          <w:rFonts w:ascii="Arial" w:hAnsi="Arial"/>
          <w:i/>
          <w:iCs/>
          <w:color w:val="273E47"/>
          <w:sz w:val="18"/>
          <w:szCs w:val="18"/>
        </w:rPr>
        <w:endnoteReference w:id="40"/>
      </w:r>
    </w:p>
    <w:p w14:paraId="5535869B" w14:textId="69CCAA30" w:rsidR="00C74307" w:rsidRPr="002E5ECD" w:rsidRDefault="00C74307" w:rsidP="00C74307">
      <w:pPr>
        <w:spacing w:before="240" w:after="120" w:line="360" w:lineRule="auto"/>
        <w:jc w:val="both"/>
        <w:rPr>
          <w:rFonts w:ascii="Arial" w:hAnsi="Arial" w:cs="Arial"/>
          <w:sz w:val="24"/>
        </w:rPr>
      </w:pPr>
      <w:r w:rsidRPr="00462348">
        <w:rPr>
          <w:rFonts w:ascii="Arial" w:hAnsi="Arial" w:cs="Arial"/>
          <w:b/>
          <w:bCs/>
          <w:sz w:val="24"/>
        </w:rPr>
        <w:lastRenderedPageBreak/>
        <w:t>Nejvyšší část nákladů na bydlení</w:t>
      </w:r>
      <w:r w:rsidRPr="00A208E4">
        <w:rPr>
          <w:rFonts w:ascii="Arial" w:hAnsi="Arial" w:cs="Arial"/>
          <w:sz w:val="24"/>
        </w:rPr>
        <w:t xml:space="preserve"> v roce 202</w:t>
      </w:r>
      <w:r>
        <w:rPr>
          <w:rFonts w:ascii="Arial" w:hAnsi="Arial" w:cs="Arial"/>
          <w:sz w:val="24"/>
        </w:rPr>
        <w:t>2</w:t>
      </w:r>
      <w:r w:rsidRPr="00A208E4">
        <w:rPr>
          <w:rFonts w:ascii="Arial" w:hAnsi="Arial" w:cs="Arial"/>
          <w:sz w:val="24"/>
        </w:rPr>
        <w:t xml:space="preserve"> tvoř</w:t>
      </w:r>
      <w:r>
        <w:rPr>
          <w:rFonts w:ascii="Arial" w:hAnsi="Arial" w:cs="Arial"/>
          <w:sz w:val="24"/>
        </w:rPr>
        <w:t>ila</w:t>
      </w:r>
      <w:r w:rsidRPr="00A208E4">
        <w:rPr>
          <w:rFonts w:ascii="Arial" w:hAnsi="Arial" w:cs="Arial"/>
          <w:sz w:val="24"/>
        </w:rPr>
        <w:t xml:space="preserve"> u důchodců </w:t>
      </w:r>
      <w:r w:rsidRPr="00462348">
        <w:rPr>
          <w:rFonts w:ascii="Arial" w:hAnsi="Arial" w:cs="Arial"/>
          <w:b/>
          <w:bCs/>
          <w:sz w:val="24"/>
        </w:rPr>
        <w:t>elektřina</w:t>
      </w:r>
      <w:r w:rsidRPr="00A208E4">
        <w:rPr>
          <w:rFonts w:ascii="Arial" w:hAnsi="Arial" w:cs="Arial"/>
          <w:sz w:val="24"/>
        </w:rPr>
        <w:t xml:space="preserve"> a dále </w:t>
      </w:r>
      <w:r w:rsidRPr="00462348">
        <w:rPr>
          <w:rFonts w:ascii="Arial" w:hAnsi="Arial" w:cs="Arial"/>
          <w:b/>
          <w:bCs/>
          <w:sz w:val="24"/>
        </w:rPr>
        <w:t>nájemné</w:t>
      </w:r>
      <w:r w:rsidRPr="00A208E4">
        <w:rPr>
          <w:rFonts w:ascii="Arial" w:hAnsi="Arial" w:cs="Arial"/>
          <w:sz w:val="24"/>
        </w:rPr>
        <w:t xml:space="preserve">, resp. úhrada za užívání bytu. Vyšší část nákladů na bydlení u důchodců než u zaměstnanců a OSVČ pravidelně </w:t>
      </w:r>
      <w:proofErr w:type="gramStart"/>
      <w:r w:rsidRPr="00A208E4">
        <w:rPr>
          <w:rFonts w:ascii="Arial" w:hAnsi="Arial" w:cs="Arial"/>
          <w:sz w:val="24"/>
        </w:rPr>
        <w:t>tvoří</w:t>
      </w:r>
      <w:proofErr w:type="gramEnd"/>
      <w:r w:rsidRPr="00A208E4">
        <w:rPr>
          <w:rFonts w:ascii="Arial" w:hAnsi="Arial" w:cs="Arial"/>
          <w:sz w:val="24"/>
        </w:rPr>
        <w:t xml:space="preserve"> výdaje na plyn z dálkového zdroje</w:t>
      </w:r>
      <w:r w:rsidRPr="00A208E4">
        <w:rPr>
          <w:rFonts w:ascii="Arial" w:hAnsi="Arial" w:cs="Arial"/>
          <w:sz w:val="24"/>
          <w:szCs w:val="20"/>
        </w:rPr>
        <w:t>.</w:t>
      </w:r>
      <w:r>
        <w:rPr>
          <w:rFonts w:ascii="Arial" w:hAnsi="Arial" w:cs="Arial"/>
          <w:sz w:val="24"/>
          <w:szCs w:val="20"/>
        </w:rPr>
        <w:t xml:space="preserve"> Nejnižší částí nákladů pro důchodce v roce 2022 představovaly ostatní služby a tuhá a tekutá paliva.</w:t>
      </w:r>
      <w:r>
        <w:rPr>
          <w:rStyle w:val="Odkaznavysvtlivky"/>
          <w:rFonts w:ascii="Arial" w:hAnsi="Arial"/>
          <w:sz w:val="24"/>
        </w:rPr>
        <w:endnoteReference w:id="41"/>
      </w:r>
      <w:r>
        <w:rPr>
          <w:rFonts w:ascii="Arial" w:hAnsi="Arial" w:cs="Arial"/>
          <w:sz w:val="24"/>
          <w:szCs w:val="20"/>
        </w:rPr>
        <w:t xml:space="preserve"> </w:t>
      </w:r>
      <w:r w:rsidRPr="00A208E4">
        <w:rPr>
          <w:rFonts w:ascii="Arial" w:hAnsi="Arial" w:cs="Arial"/>
          <w:sz w:val="24"/>
          <w:szCs w:val="18"/>
        </w:rPr>
        <w:t>V roce 20</w:t>
      </w:r>
      <w:r>
        <w:rPr>
          <w:rFonts w:ascii="Arial" w:hAnsi="Arial" w:cs="Arial"/>
          <w:sz w:val="24"/>
          <w:szCs w:val="18"/>
        </w:rPr>
        <w:t>2</w:t>
      </w:r>
      <w:r w:rsidR="00462348">
        <w:rPr>
          <w:rFonts w:ascii="Arial" w:hAnsi="Arial" w:cs="Arial"/>
          <w:sz w:val="24"/>
          <w:szCs w:val="18"/>
        </w:rPr>
        <w:t>2</w:t>
      </w:r>
      <w:r w:rsidRPr="00A208E4">
        <w:rPr>
          <w:rFonts w:ascii="Arial" w:hAnsi="Arial" w:cs="Arial"/>
          <w:sz w:val="24"/>
          <w:szCs w:val="18"/>
        </w:rPr>
        <w:t xml:space="preserve"> bylo na </w:t>
      </w:r>
      <w:r w:rsidRPr="002E5ECD">
        <w:rPr>
          <w:rFonts w:ascii="Arial" w:hAnsi="Arial" w:cs="Arial"/>
          <w:b/>
          <w:bCs/>
          <w:sz w:val="24"/>
          <w:szCs w:val="18"/>
        </w:rPr>
        <w:t>příspěvek na bydlení</w:t>
      </w:r>
      <w:r w:rsidRPr="00A208E4">
        <w:rPr>
          <w:rFonts w:ascii="Arial" w:hAnsi="Arial" w:cs="Arial"/>
          <w:sz w:val="24"/>
          <w:szCs w:val="18"/>
        </w:rPr>
        <w:t xml:space="preserve"> vynaloženo </w:t>
      </w:r>
      <w:r>
        <w:rPr>
          <w:rFonts w:ascii="Arial" w:hAnsi="Arial" w:cs="Arial"/>
          <w:sz w:val="24"/>
          <w:szCs w:val="18"/>
        </w:rPr>
        <w:t xml:space="preserve">cca 8,5 </w:t>
      </w:r>
      <w:r w:rsidRPr="00A208E4">
        <w:rPr>
          <w:rFonts w:ascii="Arial" w:hAnsi="Arial" w:cs="Arial"/>
          <w:sz w:val="24"/>
          <w:szCs w:val="18"/>
        </w:rPr>
        <w:t>m</w:t>
      </w:r>
      <w:r>
        <w:rPr>
          <w:rFonts w:ascii="Arial" w:hAnsi="Arial" w:cs="Arial"/>
          <w:sz w:val="24"/>
          <w:szCs w:val="18"/>
        </w:rPr>
        <w:t>ld.</w:t>
      </w:r>
      <w:r w:rsidRPr="00A208E4">
        <w:rPr>
          <w:rFonts w:ascii="Arial" w:hAnsi="Arial" w:cs="Arial"/>
          <w:sz w:val="24"/>
          <w:szCs w:val="18"/>
        </w:rPr>
        <w:t xml:space="preserve"> Kč. </w:t>
      </w:r>
      <w:r>
        <w:rPr>
          <w:rFonts w:ascii="Arial" w:hAnsi="Arial" w:cs="Arial"/>
          <w:sz w:val="24"/>
          <w:szCs w:val="18"/>
        </w:rPr>
        <w:t>U </w:t>
      </w:r>
      <w:r w:rsidRPr="002E5ECD">
        <w:rPr>
          <w:rFonts w:ascii="Arial" w:hAnsi="Arial" w:cs="Arial"/>
          <w:b/>
          <w:bCs/>
          <w:sz w:val="24"/>
          <w:szCs w:val="18"/>
        </w:rPr>
        <w:t>doplatk</w:t>
      </w:r>
      <w:r>
        <w:rPr>
          <w:rFonts w:ascii="Arial" w:hAnsi="Arial" w:cs="Arial"/>
          <w:b/>
          <w:bCs/>
          <w:sz w:val="24"/>
          <w:szCs w:val="18"/>
        </w:rPr>
        <w:t>u</w:t>
      </w:r>
      <w:r w:rsidRPr="002E5ECD">
        <w:rPr>
          <w:rFonts w:ascii="Arial" w:hAnsi="Arial" w:cs="Arial"/>
          <w:b/>
          <w:bCs/>
          <w:sz w:val="24"/>
          <w:szCs w:val="18"/>
        </w:rPr>
        <w:t xml:space="preserve"> na bydlení</w:t>
      </w:r>
      <w:r>
        <w:rPr>
          <w:rFonts w:ascii="Arial" w:hAnsi="Arial" w:cs="Arial"/>
          <w:b/>
          <w:bCs/>
          <w:sz w:val="24"/>
          <w:szCs w:val="18"/>
        </w:rPr>
        <w:t xml:space="preserve"> </w:t>
      </w:r>
      <w:r w:rsidRPr="002E5ECD">
        <w:rPr>
          <w:rFonts w:ascii="Arial" w:hAnsi="Arial" w:cs="Arial"/>
          <w:sz w:val="24"/>
          <w:szCs w:val="18"/>
        </w:rPr>
        <w:t xml:space="preserve">byl zaznamenán meziroční </w:t>
      </w:r>
      <w:r>
        <w:rPr>
          <w:rFonts w:ascii="Arial" w:hAnsi="Arial" w:cs="Arial"/>
          <w:sz w:val="24"/>
          <w:szCs w:val="18"/>
        </w:rPr>
        <w:t xml:space="preserve">index </w:t>
      </w:r>
      <w:r w:rsidRPr="002E5ECD">
        <w:rPr>
          <w:rFonts w:ascii="Arial" w:hAnsi="Arial" w:cs="Arial"/>
          <w:sz w:val="24"/>
          <w:szCs w:val="18"/>
        </w:rPr>
        <w:t>nárůst</w:t>
      </w:r>
      <w:r>
        <w:rPr>
          <w:rFonts w:ascii="Arial" w:hAnsi="Arial" w:cs="Arial"/>
          <w:sz w:val="24"/>
          <w:szCs w:val="18"/>
        </w:rPr>
        <w:t>u</w:t>
      </w:r>
      <w:r w:rsidRPr="002E5ECD">
        <w:rPr>
          <w:rFonts w:ascii="Arial" w:hAnsi="Arial" w:cs="Arial"/>
          <w:sz w:val="24"/>
          <w:szCs w:val="18"/>
        </w:rPr>
        <w:t xml:space="preserve"> </w:t>
      </w:r>
      <w:r>
        <w:rPr>
          <w:rFonts w:ascii="Arial" w:hAnsi="Arial" w:cs="Arial"/>
          <w:sz w:val="24"/>
          <w:szCs w:val="18"/>
        </w:rPr>
        <w:t>1,04 % (údaj k prosinci 2022)</w:t>
      </w:r>
      <w:r w:rsidRPr="002E5ECD">
        <w:rPr>
          <w:rFonts w:ascii="Arial" w:hAnsi="Arial" w:cs="Arial"/>
          <w:sz w:val="24"/>
          <w:szCs w:val="18"/>
        </w:rPr>
        <w:t>.</w:t>
      </w:r>
      <w:r>
        <w:rPr>
          <w:rStyle w:val="Odkaznavysvtlivky"/>
          <w:rFonts w:ascii="Arial" w:hAnsi="Arial"/>
          <w:sz w:val="24"/>
        </w:rPr>
        <w:endnoteReference w:id="42"/>
      </w:r>
    </w:p>
    <w:p w14:paraId="3EF095A9" w14:textId="77777777" w:rsidR="005D4996" w:rsidRPr="002D3BCE" w:rsidRDefault="005D4996" w:rsidP="005D4996">
      <w:pPr>
        <w:pStyle w:val="Nadpis2"/>
        <w:spacing w:after="120"/>
      </w:pPr>
      <w:bookmarkStart w:id="18" w:name="_Toc137819482"/>
      <w:r w:rsidRPr="002D3BCE">
        <w:t>D Zdraví a prevence</w:t>
      </w:r>
      <w:bookmarkEnd w:id="17"/>
      <w:bookmarkEnd w:id="18"/>
      <w:r w:rsidRPr="002D3BCE">
        <w:t xml:space="preserve"> </w:t>
      </w:r>
    </w:p>
    <w:p w14:paraId="48C39318" w14:textId="67406376" w:rsidR="003E484B" w:rsidRPr="003E484B" w:rsidRDefault="00C74307" w:rsidP="00C74307">
      <w:pPr>
        <w:spacing w:after="120" w:line="360" w:lineRule="auto"/>
        <w:jc w:val="both"/>
        <w:rPr>
          <w:rFonts w:ascii="Arial" w:hAnsi="Arial" w:cs="Arial"/>
          <w:sz w:val="24"/>
        </w:rPr>
      </w:pPr>
      <w:r w:rsidRPr="002D3BCE">
        <w:rPr>
          <w:rFonts w:ascii="Arial" w:hAnsi="Arial" w:cs="Arial"/>
          <w:b/>
          <w:bCs/>
          <w:sz w:val="24"/>
        </w:rPr>
        <w:t xml:space="preserve">Život ve zdraví </w:t>
      </w:r>
      <w:r w:rsidRPr="002D3BCE">
        <w:rPr>
          <w:rFonts w:ascii="Arial" w:hAnsi="Arial" w:cs="Arial"/>
          <w:sz w:val="24"/>
        </w:rPr>
        <w:t>ve věku 65 let v roce 2019 u mužů byl 8,0 let a u žen 8,2 roky.</w:t>
      </w:r>
      <w:r w:rsidRPr="002D3BCE">
        <w:rPr>
          <w:rStyle w:val="Odkaznavysvtlivky"/>
          <w:rFonts w:ascii="Arial" w:hAnsi="Arial"/>
          <w:sz w:val="24"/>
        </w:rPr>
        <w:endnoteReference w:id="43"/>
      </w:r>
      <w:r w:rsidRPr="002D3BCE">
        <w:rPr>
          <w:rFonts w:ascii="Arial" w:hAnsi="Arial" w:cs="Arial"/>
          <w:sz w:val="24"/>
        </w:rPr>
        <w:t xml:space="preserve"> </w:t>
      </w:r>
      <w:r w:rsidRPr="002D3BCE">
        <w:rPr>
          <w:rFonts w:ascii="Arial" w:hAnsi="Arial" w:cs="Arial"/>
          <w:b/>
          <w:bCs/>
          <w:sz w:val="24"/>
        </w:rPr>
        <w:t>Výdaje</w:t>
      </w:r>
      <w:r w:rsidRPr="00B266E0">
        <w:rPr>
          <w:rFonts w:ascii="Arial" w:hAnsi="Arial" w:cs="Arial"/>
          <w:b/>
          <w:bCs/>
          <w:sz w:val="24"/>
        </w:rPr>
        <w:t xml:space="preserve"> na zdravotní péči</w:t>
      </w:r>
      <w:r w:rsidRPr="00B266E0">
        <w:rPr>
          <w:rFonts w:ascii="Arial" w:hAnsi="Arial" w:cs="Arial"/>
          <w:sz w:val="24"/>
        </w:rPr>
        <w:t xml:space="preserve"> </w:t>
      </w:r>
      <w:r w:rsidR="003E484B">
        <w:rPr>
          <w:rFonts w:ascii="Arial" w:hAnsi="Arial" w:cs="Arial"/>
          <w:sz w:val="24"/>
        </w:rPr>
        <w:t xml:space="preserve">v roce 2020 </w:t>
      </w:r>
      <w:r w:rsidR="003E484B" w:rsidRPr="003E484B">
        <w:rPr>
          <w:rFonts w:ascii="Arial" w:hAnsi="Arial" w:cs="Arial"/>
          <w:sz w:val="24"/>
        </w:rPr>
        <w:t xml:space="preserve">činily v Česku 526,2 mld. Kč. Mezi lety 2017–2019 se výdaje zvyšovaly v průměru o 8 % ročně, v roce 2020 však, </w:t>
      </w:r>
      <w:r w:rsidR="003E484B">
        <w:rPr>
          <w:rFonts w:ascii="Arial" w:hAnsi="Arial" w:cs="Arial"/>
          <w:sz w:val="24"/>
        </w:rPr>
        <w:t xml:space="preserve">především z důvodu </w:t>
      </w:r>
      <w:r w:rsidR="003E484B" w:rsidRPr="003E484B">
        <w:rPr>
          <w:rFonts w:ascii="Arial" w:hAnsi="Arial" w:cs="Arial"/>
          <w:sz w:val="24"/>
        </w:rPr>
        <w:t>pandemie covid-19, narostly o 19,5 % (86 mld. Kč).</w:t>
      </w:r>
      <w:r w:rsidR="003E484B">
        <w:rPr>
          <w:rStyle w:val="Znakapoznpodarou"/>
          <w:rFonts w:ascii="Arial" w:hAnsi="Arial"/>
          <w:sz w:val="24"/>
        </w:rPr>
        <w:footnoteReference w:id="6"/>
      </w:r>
      <w:r w:rsidR="003E484B">
        <w:rPr>
          <w:rFonts w:ascii="Arial" w:hAnsi="Arial" w:cs="Arial"/>
          <w:sz w:val="24"/>
        </w:rPr>
        <w:t xml:space="preserve"> </w:t>
      </w:r>
    </w:p>
    <w:p w14:paraId="39571195" w14:textId="199C43F4" w:rsidR="00C74307" w:rsidRDefault="00C74307" w:rsidP="00C74307">
      <w:pPr>
        <w:spacing w:after="120" w:line="360" w:lineRule="auto"/>
        <w:jc w:val="both"/>
        <w:rPr>
          <w:rFonts w:ascii="Arial" w:hAnsi="Arial" w:cs="Arial"/>
          <w:sz w:val="24"/>
        </w:rPr>
      </w:pPr>
      <w:r w:rsidRPr="00B266E0">
        <w:rPr>
          <w:rFonts w:ascii="Arial" w:hAnsi="Arial" w:cs="Arial"/>
          <w:sz w:val="24"/>
        </w:rPr>
        <w:t xml:space="preserve">Klíčovým tématem, kterému </w:t>
      </w:r>
      <w:r w:rsidR="003E484B">
        <w:rPr>
          <w:rFonts w:ascii="Arial" w:hAnsi="Arial" w:cs="Arial"/>
          <w:sz w:val="24"/>
        </w:rPr>
        <w:t>je</w:t>
      </w:r>
      <w:r>
        <w:rPr>
          <w:rFonts w:ascii="Arial" w:hAnsi="Arial" w:cs="Arial"/>
          <w:sz w:val="24"/>
        </w:rPr>
        <w:t xml:space="preserve"> </w:t>
      </w:r>
      <w:r w:rsidRPr="00B266E0">
        <w:rPr>
          <w:rFonts w:ascii="Arial" w:hAnsi="Arial" w:cs="Arial"/>
          <w:sz w:val="24"/>
        </w:rPr>
        <w:t>věnov</w:t>
      </w:r>
      <w:r w:rsidR="003E484B">
        <w:rPr>
          <w:rFonts w:ascii="Arial" w:hAnsi="Arial" w:cs="Arial"/>
          <w:sz w:val="24"/>
        </w:rPr>
        <w:t>ána</w:t>
      </w:r>
      <w:r w:rsidRPr="00B266E0">
        <w:rPr>
          <w:rFonts w:ascii="Arial" w:hAnsi="Arial" w:cs="Arial"/>
          <w:sz w:val="24"/>
        </w:rPr>
        <w:t xml:space="preserve"> zvláštní pozornost, je </w:t>
      </w:r>
      <w:r w:rsidRPr="002C585D">
        <w:rPr>
          <w:rFonts w:ascii="Arial" w:hAnsi="Arial" w:cs="Arial"/>
          <w:b/>
          <w:bCs/>
          <w:sz w:val="24"/>
        </w:rPr>
        <w:t>s</w:t>
      </w:r>
      <w:r w:rsidRPr="00B266E0">
        <w:rPr>
          <w:rFonts w:ascii="Arial" w:hAnsi="Arial" w:cs="Arial"/>
          <w:b/>
          <w:bCs/>
          <w:sz w:val="24"/>
        </w:rPr>
        <w:t>pecializovaná geriatrická péče včetně komplexní diagnostiky</w:t>
      </w:r>
      <w:r w:rsidRPr="00B266E0">
        <w:rPr>
          <w:rFonts w:ascii="Arial" w:hAnsi="Arial" w:cs="Arial"/>
          <w:sz w:val="24"/>
        </w:rPr>
        <w:t>.</w:t>
      </w:r>
      <w:r>
        <w:rPr>
          <w:rStyle w:val="Odkaznavysvtlivky"/>
          <w:rFonts w:ascii="Arial" w:hAnsi="Arial"/>
          <w:sz w:val="24"/>
        </w:rPr>
        <w:endnoteReference w:id="44"/>
      </w:r>
      <w:r>
        <w:rPr>
          <w:rFonts w:ascii="Arial" w:hAnsi="Arial" w:cs="Arial"/>
          <w:sz w:val="24"/>
        </w:rPr>
        <w:t xml:space="preserve"> Nutné je rovněž zajistit</w:t>
      </w:r>
      <w:r w:rsidR="003E484B">
        <w:rPr>
          <w:rFonts w:ascii="Arial" w:hAnsi="Arial" w:cs="Arial"/>
          <w:sz w:val="24"/>
        </w:rPr>
        <w:t xml:space="preserve"> podmínky pro</w:t>
      </w:r>
      <w:r>
        <w:rPr>
          <w:rFonts w:ascii="Arial" w:hAnsi="Arial" w:cs="Arial"/>
          <w:sz w:val="24"/>
        </w:rPr>
        <w:t xml:space="preserve"> domácí zdravotní</w:t>
      </w:r>
      <w:r w:rsidR="003E484B">
        <w:rPr>
          <w:rFonts w:ascii="Arial" w:hAnsi="Arial" w:cs="Arial"/>
          <w:sz w:val="24"/>
        </w:rPr>
        <w:t xml:space="preserve"> (neformální)</w:t>
      </w:r>
      <w:r>
        <w:rPr>
          <w:rFonts w:ascii="Arial" w:hAnsi="Arial" w:cs="Arial"/>
          <w:sz w:val="24"/>
        </w:rPr>
        <w:t xml:space="preserve"> péči</w:t>
      </w:r>
      <w:r w:rsidR="003E484B">
        <w:rPr>
          <w:rFonts w:ascii="Arial" w:hAnsi="Arial" w:cs="Arial"/>
          <w:sz w:val="24"/>
        </w:rPr>
        <w:t>.</w:t>
      </w:r>
    </w:p>
    <w:p w14:paraId="5C4A5965" w14:textId="6BBD7AA3" w:rsidR="00C74307" w:rsidRPr="006628F4" w:rsidRDefault="003E484B" w:rsidP="00C74307">
      <w:pPr>
        <w:spacing w:after="120" w:line="360" w:lineRule="auto"/>
        <w:jc w:val="both"/>
        <w:rPr>
          <w:rFonts w:ascii="Arial" w:hAnsi="Arial" w:cs="Arial"/>
          <w:bCs/>
          <w:sz w:val="24"/>
        </w:rPr>
      </w:pPr>
      <w:r w:rsidRPr="003E484B">
        <w:rPr>
          <w:rFonts w:ascii="Arial" w:hAnsi="Arial" w:cs="Arial"/>
          <w:bCs/>
          <w:sz w:val="24"/>
        </w:rPr>
        <w:t>V neposlední řadě je</w:t>
      </w:r>
      <w:r>
        <w:rPr>
          <w:rFonts w:ascii="Arial" w:hAnsi="Arial" w:cs="Arial"/>
          <w:b/>
          <w:sz w:val="24"/>
        </w:rPr>
        <w:t xml:space="preserve"> </w:t>
      </w:r>
      <w:r w:rsidRPr="003E484B">
        <w:rPr>
          <w:rFonts w:ascii="Arial" w:hAnsi="Arial" w:cs="Arial"/>
          <w:bCs/>
          <w:sz w:val="24"/>
        </w:rPr>
        <w:t xml:space="preserve">potřeba </w:t>
      </w:r>
      <w:r>
        <w:rPr>
          <w:rFonts w:ascii="Arial" w:hAnsi="Arial" w:cs="Arial"/>
          <w:bCs/>
          <w:sz w:val="24"/>
        </w:rPr>
        <w:t>vyzdvihnout význam</w:t>
      </w:r>
      <w:r>
        <w:rPr>
          <w:rFonts w:ascii="Arial" w:hAnsi="Arial" w:cs="Arial"/>
          <w:b/>
          <w:sz w:val="24"/>
        </w:rPr>
        <w:t xml:space="preserve"> tzv.</w:t>
      </w:r>
      <w:r w:rsidR="00C74307" w:rsidRPr="00247D9F">
        <w:rPr>
          <w:rFonts w:ascii="Arial" w:hAnsi="Arial" w:cs="Arial"/>
          <w:b/>
          <w:sz w:val="24"/>
        </w:rPr>
        <w:t xml:space="preserve"> asist</w:t>
      </w:r>
      <w:r>
        <w:rPr>
          <w:rFonts w:ascii="Arial" w:hAnsi="Arial" w:cs="Arial"/>
          <w:b/>
          <w:sz w:val="24"/>
        </w:rPr>
        <w:t>enčních</w:t>
      </w:r>
      <w:r w:rsidR="00C74307" w:rsidRPr="00247D9F">
        <w:rPr>
          <w:rFonts w:ascii="Arial" w:hAnsi="Arial" w:cs="Arial"/>
          <w:b/>
          <w:sz w:val="24"/>
        </w:rPr>
        <w:t xml:space="preserve"> </w:t>
      </w:r>
      <w:r>
        <w:rPr>
          <w:rFonts w:ascii="Arial" w:hAnsi="Arial" w:cs="Arial"/>
          <w:b/>
          <w:sz w:val="24"/>
        </w:rPr>
        <w:t xml:space="preserve">služeb, </w:t>
      </w:r>
      <w:r>
        <w:rPr>
          <w:rFonts w:ascii="Arial" w:hAnsi="Arial" w:cs="Arial"/>
          <w:bCs/>
          <w:sz w:val="24"/>
        </w:rPr>
        <w:t>jež</w:t>
      </w:r>
      <w:r w:rsidR="00C74307">
        <w:rPr>
          <w:rFonts w:ascii="Arial" w:hAnsi="Arial" w:cs="Arial"/>
          <w:b/>
          <w:sz w:val="24"/>
        </w:rPr>
        <w:t xml:space="preserve"> </w:t>
      </w:r>
      <w:r w:rsidR="00C74307" w:rsidRPr="006628F4">
        <w:rPr>
          <w:rFonts w:ascii="Arial" w:hAnsi="Arial" w:cs="Arial"/>
          <w:bCs/>
          <w:sz w:val="24"/>
        </w:rPr>
        <w:t>mohou zvýšit kvalitu života seniorů a pomoci</w:t>
      </w:r>
      <w:r>
        <w:rPr>
          <w:rFonts w:ascii="Arial" w:hAnsi="Arial" w:cs="Arial"/>
          <w:bCs/>
          <w:sz w:val="24"/>
        </w:rPr>
        <w:t xml:space="preserve"> jim</w:t>
      </w:r>
      <w:r w:rsidR="00C74307" w:rsidRPr="006628F4">
        <w:rPr>
          <w:rFonts w:ascii="Arial" w:hAnsi="Arial" w:cs="Arial"/>
          <w:bCs/>
          <w:sz w:val="24"/>
        </w:rPr>
        <w:t xml:space="preserve"> zůstat aktivními v práci nebo v komunitě. </w:t>
      </w:r>
      <w:r w:rsidR="00C74307">
        <w:rPr>
          <w:rFonts w:ascii="Arial" w:hAnsi="Arial" w:cs="Arial"/>
          <w:bCs/>
          <w:sz w:val="24"/>
        </w:rPr>
        <w:t>Mají také v</w:t>
      </w:r>
      <w:r w:rsidR="00C74307" w:rsidRPr="006628F4">
        <w:rPr>
          <w:rFonts w:ascii="Arial" w:hAnsi="Arial" w:cs="Arial"/>
          <w:bCs/>
          <w:sz w:val="24"/>
        </w:rPr>
        <w:t>ýznamnou odlehčovací (respitní) funkci pro seniorovu rodinu.</w:t>
      </w:r>
      <w:r w:rsidR="00C74307">
        <w:rPr>
          <w:rStyle w:val="Odkaznavysvtlivky"/>
          <w:rFonts w:ascii="Arial" w:hAnsi="Arial"/>
          <w:sz w:val="24"/>
        </w:rPr>
        <w:endnoteReference w:id="45"/>
      </w:r>
      <w:r w:rsidR="00C74307">
        <w:rPr>
          <w:rFonts w:ascii="Arial" w:hAnsi="Arial" w:cs="Arial"/>
          <w:bCs/>
          <w:sz w:val="24"/>
        </w:rPr>
        <w:t xml:space="preserve"> </w:t>
      </w:r>
    </w:p>
    <w:p w14:paraId="55A50FAF" w14:textId="77777777" w:rsidR="005D4996" w:rsidRPr="0060793E" w:rsidRDefault="005D4996" w:rsidP="005D4996">
      <w:pPr>
        <w:pStyle w:val="Nadpis2"/>
        <w:spacing w:after="120"/>
        <w:jc w:val="both"/>
      </w:pPr>
      <w:bookmarkStart w:id="19" w:name="_Toc102641994"/>
      <w:bookmarkStart w:id="20" w:name="_Toc137819483"/>
      <w:r w:rsidRPr="002D3BCE">
        <w:t>E Podpora a péče</w:t>
      </w:r>
      <w:bookmarkEnd w:id="19"/>
      <w:bookmarkEnd w:id="20"/>
      <w:r w:rsidRPr="0060793E">
        <w:t xml:space="preserve"> </w:t>
      </w:r>
    </w:p>
    <w:p w14:paraId="47396922" w14:textId="1DA1D0EB" w:rsidR="00C74307" w:rsidRDefault="00C74307" w:rsidP="00C74307">
      <w:pPr>
        <w:spacing w:line="360" w:lineRule="auto"/>
        <w:jc w:val="both"/>
        <w:rPr>
          <w:rFonts w:ascii="Arial" w:hAnsi="Arial" w:cs="Arial"/>
          <w:bCs/>
          <w:color w:val="FF0000"/>
          <w:sz w:val="24"/>
        </w:rPr>
      </w:pPr>
      <w:r w:rsidRPr="00C86C2F">
        <w:rPr>
          <w:rFonts w:ascii="Arial" w:hAnsi="Arial" w:cs="Arial"/>
          <w:bCs/>
          <w:sz w:val="24"/>
          <w:szCs w:val="20"/>
        </w:rPr>
        <w:t>Zatímco v roce 20</w:t>
      </w:r>
      <w:r>
        <w:rPr>
          <w:rFonts w:ascii="Arial" w:hAnsi="Arial" w:cs="Arial"/>
          <w:bCs/>
          <w:sz w:val="24"/>
          <w:szCs w:val="20"/>
        </w:rPr>
        <w:t xml:space="preserve">19 </w:t>
      </w:r>
      <w:r w:rsidRPr="00C86C2F">
        <w:rPr>
          <w:rFonts w:ascii="Arial" w:hAnsi="Arial" w:cs="Arial"/>
          <w:bCs/>
          <w:sz w:val="24"/>
          <w:szCs w:val="20"/>
        </w:rPr>
        <w:t xml:space="preserve">odpovídala </w:t>
      </w:r>
      <w:r w:rsidRPr="00C86C2F">
        <w:rPr>
          <w:rFonts w:ascii="Arial" w:hAnsi="Arial" w:cs="Arial"/>
          <w:b/>
          <w:sz w:val="24"/>
          <w:szCs w:val="20"/>
        </w:rPr>
        <w:t>částka vynaložená na sociální a zdravotní výdaje</w:t>
      </w:r>
      <w:r w:rsidRPr="00C86C2F">
        <w:rPr>
          <w:rFonts w:ascii="Arial" w:hAnsi="Arial" w:cs="Arial"/>
          <w:bCs/>
          <w:sz w:val="24"/>
          <w:szCs w:val="20"/>
        </w:rPr>
        <w:t xml:space="preserve"> </w:t>
      </w:r>
      <w:r>
        <w:rPr>
          <w:rFonts w:ascii="Arial" w:hAnsi="Arial" w:cs="Arial"/>
          <w:bCs/>
          <w:sz w:val="24"/>
          <w:szCs w:val="20"/>
        </w:rPr>
        <w:t xml:space="preserve">cca </w:t>
      </w:r>
      <w:r w:rsidRPr="00C86C2F">
        <w:rPr>
          <w:rFonts w:ascii="Arial" w:hAnsi="Arial" w:cs="Arial"/>
          <w:bCs/>
          <w:sz w:val="24"/>
          <w:szCs w:val="20"/>
        </w:rPr>
        <w:t>18 % HDP, v roce 20</w:t>
      </w:r>
      <w:r>
        <w:rPr>
          <w:rFonts w:ascii="Arial" w:hAnsi="Arial" w:cs="Arial"/>
          <w:bCs/>
          <w:sz w:val="24"/>
          <w:szCs w:val="20"/>
        </w:rPr>
        <w:t>21</w:t>
      </w:r>
      <w:r w:rsidRPr="00C86C2F">
        <w:rPr>
          <w:rFonts w:ascii="Arial" w:hAnsi="Arial" w:cs="Arial"/>
          <w:bCs/>
          <w:sz w:val="24"/>
          <w:szCs w:val="20"/>
        </w:rPr>
        <w:t xml:space="preserve"> se jednalo o </w:t>
      </w:r>
      <w:r>
        <w:rPr>
          <w:rFonts w:ascii="Arial" w:hAnsi="Arial" w:cs="Arial"/>
          <w:bCs/>
          <w:sz w:val="24"/>
          <w:szCs w:val="20"/>
        </w:rPr>
        <w:t>zhruba 13</w:t>
      </w:r>
      <w:r w:rsidRPr="00C86C2F">
        <w:rPr>
          <w:rFonts w:ascii="Arial" w:hAnsi="Arial" w:cs="Arial"/>
          <w:bCs/>
          <w:sz w:val="24"/>
          <w:szCs w:val="20"/>
        </w:rPr>
        <w:t xml:space="preserve"> %.</w:t>
      </w:r>
      <w:r>
        <w:rPr>
          <w:rStyle w:val="Odkaznavysvtlivky"/>
          <w:rFonts w:ascii="Arial" w:hAnsi="Arial"/>
          <w:sz w:val="24"/>
        </w:rPr>
        <w:endnoteReference w:id="46"/>
      </w:r>
      <w:r>
        <w:rPr>
          <w:rFonts w:ascii="Arial" w:hAnsi="Arial" w:cs="Arial"/>
          <w:bCs/>
          <w:color w:val="FF0000"/>
          <w:sz w:val="24"/>
        </w:rPr>
        <w:t xml:space="preserve"> </w:t>
      </w:r>
    </w:p>
    <w:p w14:paraId="63D89153" w14:textId="33AA26AB" w:rsidR="002D3BCE" w:rsidRDefault="002D3BCE" w:rsidP="00C74307">
      <w:pPr>
        <w:spacing w:line="360" w:lineRule="auto"/>
        <w:jc w:val="both"/>
        <w:rPr>
          <w:rFonts w:ascii="Arial" w:hAnsi="Arial" w:cs="Arial"/>
          <w:bCs/>
          <w:color w:val="FF0000"/>
          <w:sz w:val="24"/>
        </w:rPr>
      </w:pPr>
    </w:p>
    <w:p w14:paraId="219A4B8F" w14:textId="375173D5" w:rsidR="002D3BCE" w:rsidRDefault="002D3BCE" w:rsidP="00C74307">
      <w:pPr>
        <w:spacing w:line="360" w:lineRule="auto"/>
        <w:jc w:val="both"/>
        <w:rPr>
          <w:rFonts w:ascii="Arial" w:hAnsi="Arial" w:cs="Arial"/>
          <w:bCs/>
          <w:color w:val="FF0000"/>
          <w:sz w:val="24"/>
        </w:rPr>
      </w:pPr>
    </w:p>
    <w:p w14:paraId="4AD585C6" w14:textId="7C79DD22" w:rsidR="002D3BCE" w:rsidRDefault="002D3BCE" w:rsidP="00C74307">
      <w:pPr>
        <w:spacing w:line="360" w:lineRule="auto"/>
        <w:jc w:val="both"/>
        <w:rPr>
          <w:rFonts w:ascii="Arial" w:hAnsi="Arial" w:cs="Arial"/>
          <w:bCs/>
          <w:color w:val="FF0000"/>
          <w:sz w:val="24"/>
        </w:rPr>
      </w:pPr>
    </w:p>
    <w:p w14:paraId="6A256A3E" w14:textId="3869C755" w:rsidR="002D3BCE" w:rsidRDefault="002D3BCE" w:rsidP="00C74307">
      <w:pPr>
        <w:spacing w:line="360" w:lineRule="auto"/>
        <w:jc w:val="both"/>
        <w:rPr>
          <w:rFonts w:ascii="Arial" w:hAnsi="Arial" w:cs="Arial"/>
          <w:bCs/>
          <w:color w:val="FF0000"/>
          <w:sz w:val="24"/>
        </w:rPr>
      </w:pPr>
    </w:p>
    <w:p w14:paraId="00830DC1" w14:textId="77777777" w:rsidR="00C74307" w:rsidRPr="007C28C6" w:rsidRDefault="00C74307" w:rsidP="00C74307">
      <w:pPr>
        <w:spacing w:line="360" w:lineRule="auto"/>
        <w:jc w:val="both"/>
        <w:rPr>
          <w:rFonts w:ascii="Arial" w:hAnsi="Arial" w:cs="Arial"/>
          <w:b/>
          <w:color w:val="5B9BD5" w:themeColor="accent1"/>
          <w:sz w:val="20"/>
          <w:szCs w:val="20"/>
        </w:rPr>
      </w:pPr>
      <w:r w:rsidRPr="007C28C6">
        <w:rPr>
          <w:rFonts w:ascii="Arial" w:hAnsi="Arial" w:cs="Arial"/>
          <w:b/>
          <w:color w:val="5B9BD5" w:themeColor="accent1"/>
          <w:sz w:val="20"/>
          <w:szCs w:val="20"/>
        </w:rPr>
        <w:lastRenderedPageBreak/>
        <w:t>Graf č.</w:t>
      </w:r>
      <w:r>
        <w:rPr>
          <w:rFonts w:ascii="Arial" w:hAnsi="Arial" w:cs="Arial"/>
          <w:b/>
          <w:color w:val="5B9BD5" w:themeColor="accent1"/>
          <w:sz w:val="20"/>
          <w:szCs w:val="20"/>
        </w:rPr>
        <w:t>5</w:t>
      </w:r>
      <w:r w:rsidRPr="007C28C6">
        <w:rPr>
          <w:rFonts w:ascii="Arial" w:hAnsi="Arial" w:cs="Arial"/>
          <w:b/>
          <w:color w:val="5B9BD5" w:themeColor="accent1"/>
          <w:sz w:val="20"/>
          <w:szCs w:val="20"/>
        </w:rPr>
        <w:t>: Celkové výdaje vládních institucí na sociální ochranu</w:t>
      </w:r>
    </w:p>
    <w:p w14:paraId="3EB354C5" w14:textId="77777777" w:rsidR="00C74307" w:rsidRDefault="00C74307" w:rsidP="00C74307">
      <w:pPr>
        <w:spacing w:line="360" w:lineRule="auto"/>
        <w:jc w:val="center"/>
        <w:rPr>
          <w:rFonts w:ascii="Arial" w:hAnsi="Arial" w:cs="Arial"/>
          <w:bCs/>
          <w:color w:val="FF0000"/>
          <w:sz w:val="24"/>
        </w:rPr>
      </w:pPr>
      <w:r w:rsidRPr="007C28C6">
        <w:rPr>
          <w:rFonts w:ascii="Arial" w:hAnsi="Arial" w:cs="Arial"/>
          <w:bCs/>
          <w:noProof/>
          <w:color w:val="FF0000"/>
          <w:sz w:val="24"/>
        </w:rPr>
        <w:drawing>
          <wp:inline distT="0" distB="0" distL="0" distR="0" wp14:anchorId="0CAE897A" wp14:editId="1EDCC06D">
            <wp:extent cx="5565669" cy="3730028"/>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001" b="2899"/>
                    <a:stretch/>
                  </pic:blipFill>
                  <pic:spPr bwMode="auto">
                    <a:xfrm>
                      <a:off x="0" y="0"/>
                      <a:ext cx="5579528" cy="3739316"/>
                    </a:xfrm>
                    <a:prstGeom prst="rect">
                      <a:avLst/>
                    </a:prstGeom>
                    <a:ln>
                      <a:noFill/>
                    </a:ln>
                    <a:extLst>
                      <a:ext uri="{53640926-AAD7-44D8-BBD7-CCE9431645EC}">
                        <a14:shadowObscured xmlns:a14="http://schemas.microsoft.com/office/drawing/2010/main"/>
                      </a:ext>
                    </a:extLst>
                  </pic:spPr>
                </pic:pic>
              </a:graphicData>
            </a:graphic>
          </wp:inline>
        </w:drawing>
      </w:r>
    </w:p>
    <w:p w14:paraId="00C7D121" w14:textId="77777777" w:rsidR="00C74307" w:rsidRPr="00462C47" w:rsidRDefault="00C74307" w:rsidP="00C74307">
      <w:pPr>
        <w:spacing w:before="240" w:line="360" w:lineRule="auto"/>
        <w:rPr>
          <w:rFonts w:ascii="Arial" w:hAnsi="Arial" w:cs="Arial"/>
          <w:bCs/>
          <w:i/>
          <w:iCs/>
          <w:sz w:val="18"/>
          <w:szCs w:val="18"/>
        </w:rPr>
      </w:pPr>
      <w:r w:rsidRPr="00462C47">
        <w:rPr>
          <w:rFonts w:ascii="Arial" w:hAnsi="Arial" w:cs="Arial"/>
          <w:bCs/>
          <w:i/>
          <w:iCs/>
          <w:sz w:val="18"/>
          <w:szCs w:val="18"/>
        </w:rPr>
        <w:t xml:space="preserve">Zdroj: </w:t>
      </w:r>
      <w:proofErr w:type="spellStart"/>
      <w:r w:rsidRPr="00462C47">
        <w:rPr>
          <w:rFonts w:ascii="Arial" w:hAnsi="Arial" w:cs="Arial"/>
          <w:bCs/>
          <w:i/>
          <w:iCs/>
          <w:sz w:val="18"/>
          <w:szCs w:val="18"/>
        </w:rPr>
        <w:t>Eurostat</w:t>
      </w:r>
      <w:proofErr w:type="spellEnd"/>
      <w:r>
        <w:rPr>
          <w:rStyle w:val="Odkaznavysvtlivky"/>
          <w:rFonts w:ascii="Arial" w:hAnsi="Arial"/>
          <w:bCs/>
          <w:i/>
          <w:iCs/>
          <w:sz w:val="18"/>
          <w:szCs w:val="18"/>
        </w:rPr>
        <w:endnoteReference w:id="47"/>
      </w:r>
    </w:p>
    <w:p w14:paraId="140ECCB5" w14:textId="40903B80" w:rsidR="00FC6A3E" w:rsidRDefault="00C74307" w:rsidP="00C74307">
      <w:pPr>
        <w:spacing w:line="360" w:lineRule="auto"/>
        <w:jc w:val="both"/>
        <w:rPr>
          <w:rFonts w:ascii="Arial" w:hAnsi="Arial" w:cs="Arial"/>
          <w:sz w:val="24"/>
        </w:rPr>
      </w:pPr>
      <w:r>
        <w:rPr>
          <w:rFonts w:ascii="Arial" w:hAnsi="Arial"/>
          <w:color w:val="000000"/>
          <w:sz w:val="24"/>
        </w:rPr>
        <w:t xml:space="preserve">Dle dostupných výzkumů je zřejmé, že </w:t>
      </w:r>
      <w:r>
        <w:rPr>
          <w:rFonts w:ascii="Arial" w:hAnsi="Arial" w:cs="Arial"/>
          <w:bCs/>
          <w:sz w:val="24"/>
        </w:rPr>
        <w:t>d</w:t>
      </w:r>
      <w:r w:rsidRPr="00C86C2F">
        <w:rPr>
          <w:rFonts w:ascii="Arial" w:hAnsi="Arial" w:cs="Arial"/>
          <w:bCs/>
          <w:sz w:val="24"/>
        </w:rPr>
        <w:t>rtivá většina lidí preferuje</w:t>
      </w:r>
      <w:r w:rsidRPr="00035CD9">
        <w:rPr>
          <w:rFonts w:ascii="Arial" w:hAnsi="Arial" w:cs="Arial"/>
          <w:b/>
          <w:sz w:val="24"/>
        </w:rPr>
        <w:t xml:space="preserve"> zůstat </w:t>
      </w:r>
      <w:r w:rsidRPr="00C86C2F">
        <w:rPr>
          <w:rFonts w:ascii="Arial" w:hAnsi="Arial" w:cs="Arial"/>
          <w:bCs/>
          <w:sz w:val="24"/>
        </w:rPr>
        <w:t>co nejdéle</w:t>
      </w:r>
      <w:r w:rsidRPr="00035CD9">
        <w:rPr>
          <w:rFonts w:ascii="Arial" w:hAnsi="Arial" w:cs="Arial"/>
          <w:b/>
          <w:sz w:val="24"/>
        </w:rPr>
        <w:t xml:space="preserve"> v domácím prostředí</w:t>
      </w:r>
      <w:r>
        <w:rPr>
          <w:rFonts w:ascii="Arial" w:hAnsi="Arial" w:cs="Arial"/>
          <w:sz w:val="24"/>
        </w:rPr>
        <w:t xml:space="preserve">. To je možné pouze v situaci, kdy budou adekvátně zajištěny terénní zdravotní a sociální služby a podpora neformálních pečujících. </w:t>
      </w:r>
      <w:r>
        <w:rPr>
          <w:rFonts w:ascii="Arial" w:hAnsi="Arial" w:cs="Arial"/>
          <w:bCs/>
          <w:color w:val="FF0000"/>
          <w:sz w:val="24"/>
        </w:rPr>
        <w:t xml:space="preserve"> </w:t>
      </w:r>
      <w:r w:rsidRPr="00C86C2F">
        <w:rPr>
          <w:rFonts w:ascii="Arial" w:hAnsi="Arial" w:cs="Arial"/>
          <w:b/>
          <w:bCs/>
          <w:sz w:val="24"/>
        </w:rPr>
        <w:t>Počet lůžek v domovech pro seniory</w:t>
      </w:r>
      <w:r>
        <w:rPr>
          <w:rFonts w:ascii="Arial" w:hAnsi="Arial" w:cs="Arial"/>
          <w:sz w:val="24"/>
        </w:rPr>
        <w:t xml:space="preserve"> </w:t>
      </w:r>
      <w:r w:rsidRPr="00247D9F">
        <w:rPr>
          <w:rFonts w:ascii="Arial" w:hAnsi="Arial" w:cs="Arial"/>
          <w:sz w:val="24"/>
        </w:rPr>
        <w:t>se</w:t>
      </w:r>
      <w:r>
        <w:rPr>
          <w:rFonts w:ascii="Arial" w:hAnsi="Arial" w:cs="Arial"/>
          <w:sz w:val="24"/>
        </w:rPr>
        <w:t xml:space="preserve"> v průběhu le</w:t>
      </w:r>
      <w:r w:rsidRPr="00247D9F">
        <w:rPr>
          <w:rFonts w:ascii="Arial" w:hAnsi="Arial" w:cs="Arial"/>
          <w:sz w:val="24"/>
        </w:rPr>
        <w:t>t zásadně nemění</w:t>
      </w:r>
      <w:r>
        <w:rPr>
          <w:rFonts w:ascii="Arial" w:hAnsi="Arial" w:cs="Arial"/>
          <w:sz w:val="24"/>
        </w:rPr>
        <w:t xml:space="preserve"> a </w:t>
      </w:r>
      <w:r w:rsidRPr="00247D9F">
        <w:rPr>
          <w:rFonts w:ascii="Arial" w:hAnsi="Arial" w:cs="Arial"/>
          <w:sz w:val="24"/>
        </w:rPr>
        <w:t xml:space="preserve">zvyšuje </w:t>
      </w:r>
      <w:r>
        <w:rPr>
          <w:rFonts w:ascii="Arial" w:hAnsi="Arial" w:cs="Arial"/>
          <w:sz w:val="24"/>
        </w:rPr>
        <w:t xml:space="preserve">se </w:t>
      </w:r>
      <w:r w:rsidRPr="00247D9F">
        <w:rPr>
          <w:rFonts w:ascii="Arial" w:hAnsi="Arial" w:cs="Arial"/>
          <w:sz w:val="24"/>
        </w:rPr>
        <w:t>počet neuspokojených žádostí o místo v</w:t>
      </w:r>
      <w:r>
        <w:rPr>
          <w:rFonts w:ascii="Arial" w:hAnsi="Arial" w:cs="Arial"/>
          <w:sz w:val="24"/>
        </w:rPr>
        <w:t> </w:t>
      </w:r>
      <w:r w:rsidRPr="002C3010">
        <w:rPr>
          <w:rFonts w:ascii="Arial" w:hAnsi="Arial" w:cs="Arial"/>
          <w:sz w:val="24"/>
        </w:rPr>
        <w:t xml:space="preserve">domovech pro seniory. </w:t>
      </w:r>
      <w:r w:rsidRPr="002C3010">
        <w:rPr>
          <w:rFonts w:ascii="Arial" w:hAnsi="Arial" w:cs="Arial"/>
          <w:b/>
          <w:bCs/>
          <w:sz w:val="24"/>
        </w:rPr>
        <w:t>Počet neformálních pečujících</w:t>
      </w:r>
      <w:r w:rsidRPr="002C3010">
        <w:rPr>
          <w:rFonts w:ascii="Arial" w:hAnsi="Arial" w:cs="Arial"/>
          <w:sz w:val="24"/>
        </w:rPr>
        <w:t xml:space="preserve"> naznačuje každoroční zvyšování </w:t>
      </w:r>
      <w:r>
        <w:rPr>
          <w:rFonts w:ascii="Arial" w:hAnsi="Arial" w:cs="Arial"/>
          <w:sz w:val="24"/>
        </w:rPr>
        <w:t xml:space="preserve">(dle </w:t>
      </w:r>
      <w:r w:rsidRPr="002C3010">
        <w:rPr>
          <w:rFonts w:ascii="Arial" w:hAnsi="Arial" w:cs="Arial"/>
          <w:sz w:val="24"/>
        </w:rPr>
        <w:t>odhad</w:t>
      </w:r>
      <w:r w:rsidR="00E317FE">
        <w:rPr>
          <w:rFonts w:ascii="Arial" w:hAnsi="Arial" w:cs="Arial"/>
          <w:sz w:val="24"/>
        </w:rPr>
        <w:t>ů</w:t>
      </w:r>
      <w:r w:rsidR="00FC6A3E" w:rsidRPr="00FC6A3E">
        <w:t xml:space="preserve"> </w:t>
      </w:r>
      <w:r w:rsidR="00FC6A3E" w:rsidRPr="00FC6A3E">
        <w:rPr>
          <w:rFonts w:ascii="Arial" w:hAnsi="Arial" w:cs="Arial"/>
          <w:sz w:val="24"/>
        </w:rPr>
        <w:t>počtu příjemců příspěvku na péči</w:t>
      </w:r>
      <w:r w:rsidR="00FC6A3E">
        <w:rPr>
          <w:rFonts w:ascii="Arial" w:hAnsi="Arial" w:cs="Arial"/>
          <w:sz w:val="24"/>
        </w:rPr>
        <w:t>)</w:t>
      </w:r>
      <w:r w:rsidR="00FC6A3E">
        <w:rPr>
          <w:rStyle w:val="Odkaznavysvtlivky"/>
          <w:rFonts w:ascii="Arial" w:hAnsi="Arial"/>
          <w:sz w:val="24"/>
        </w:rPr>
        <w:endnoteReference w:id="48"/>
      </w:r>
      <w:r w:rsidR="00FC6A3E">
        <w:rPr>
          <w:rFonts w:ascii="Arial" w:hAnsi="Arial" w:cs="Arial"/>
          <w:sz w:val="24"/>
        </w:rPr>
        <w:t xml:space="preserve">. Dostupná data ukazují, že </w:t>
      </w:r>
      <w:r>
        <w:rPr>
          <w:rFonts w:ascii="Arial" w:hAnsi="Arial" w:cs="Arial"/>
          <w:sz w:val="24"/>
        </w:rPr>
        <w:t>70–90 % zdravotní dlouhodobé a sociální péče bývá zpravidla poskytováno rodinnými příslušníky nebo jinými pečujícími.</w:t>
      </w:r>
      <w:r>
        <w:rPr>
          <w:rStyle w:val="Odkaznavysvtlivky"/>
          <w:rFonts w:ascii="Arial" w:hAnsi="Arial"/>
          <w:sz w:val="24"/>
        </w:rPr>
        <w:endnoteReference w:id="49"/>
      </w:r>
      <w:r>
        <w:rPr>
          <w:rFonts w:ascii="Arial" w:hAnsi="Arial" w:cs="Arial"/>
          <w:sz w:val="24"/>
        </w:rPr>
        <w:t xml:space="preserve"> </w:t>
      </w:r>
      <w:r w:rsidRPr="002C3010">
        <w:rPr>
          <w:rFonts w:ascii="Arial" w:hAnsi="Arial" w:cs="Arial"/>
          <w:sz w:val="24"/>
        </w:rPr>
        <w:t>Šetření</w:t>
      </w:r>
      <w:r>
        <w:rPr>
          <w:rFonts w:ascii="Arial" w:hAnsi="Arial" w:cs="Arial"/>
          <w:sz w:val="24"/>
        </w:rPr>
        <w:t xml:space="preserve"> Fondu dalšího vzdělávání </w:t>
      </w:r>
      <w:r w:rsidRPr="002C3010">
        <w:rPr>
          <w:rFonts w:ascii="Arial" w:hAnsi="Arial" w:cs="Arial"/>
          <w:sz w:val="24"/>
        </w:rPr>
        <w:t>indik</w:t>
      </w:r>
      <w:r w:rsidR="00FC6A3E">
        <w:rPr>
          <w:rFonts w:ascii="Arial" w:hAnsi="Arial" w:cs="Arial"/>
          <w:sz w:val="24"/>
        </w:rPr>
        <w:t>ovalo</w:t>
      </w:r>
      <w:r w:rsidRPr="002C3010">
        <w:rPr>
          <w:rFonts w:ascii="Arial" w:hAnsi="Arial" w:cs="Arial"/>
          <w:sz w:val="24"/>
        </w:rPr>
        <w:t xml:space="preserve"> 21,5 % dospělých Čechů, kteří pečují o blízkého.</w:t>
      </w:r>
      <w:r w:rsidR="00FC6A3E">
        <w:rPr>
          <w:rStyle w:val="Znakapoznpodarou"/>
          <w:rFonts w:ascii="Arial" w:hAnsi="Arial"/>
          <w:sz w:val="24"/>
        </w:rPr>
        <w:footnoteReference w:id="7"/>
      </w:r>
      <w:r>
        <w:rPr>
          <w:rStyle w:val="Odkaznavysvtlivky"/>
          <w:rFonts w:ascii="Arial" w:hAnsi="Arial"/>
          <w:sz w:val="24"/>
        </w:rPr>
        <w:endnoteReference w:id="50"/>
      </w:r>
      <w:r w:rsidRPr="002C3010">
        <w:rPr>
          <w:rFonts w:ascii="Arial" w:hAnsi="Arial" w:cs="Arial"/>
          <w:sz w:val="24"/>
        </w:rPr>
        <w:t xml:space="preserve"> </w:t>
      </w:r>
    </w:p>
    <w:p w14:paraId="3ABE2613" w14:textId="77777777" w:rsidR="00FC6A3E" w:rsidRDefault="00C74307" w:rsidP="00C74307">
      <w:pPr>
        <w:spacing w:line="360" w:lineRule="auto"/>
        <w:jc w:val="both"/>
        <w:rPr>
          <w:rFonts w:ascii="Arial" w:hAnsi="Arial" w:cs="Arial"/>
          <w:sz w:val="24"/>
          <w:szCs w:val="28"/>
        </w:rPr>
      </w:pPr>
      <w:r w:rsidRPr="00FC6A3E">
        <w:rPr>
          <w:rFonts w:ascii="Arial" w:hAnsi="Arial" w:cs="Arial"/>
          <w:b/>
          <w:bCs/>
          <w:sz w:val="24"/>
          <w:szCs w:val="28"/>
        </w:rPr>
        <w:t>Počet klientů pečovatelské služby</w:t>
      </w:r>
      <w:r w:rsidRPr="00FC6A3E">
        <w:rPr>
          <w:rFonts w:ascii="Arial" w:hAnsi="Arial" w:cs="Arial"/>
          <w:sz w:val="24"/>
          <w:szCs w:val="28"/>
        </w:rPr>
        <w:t xml:space="preserve"> zaznamen</w:t>
      </w:r>
      <w:r w:rsidR="00FC6A3E" w:rsidRPr="00FC6A3E">
        <w:rPr>
          <w:rFonts w:ascii="Arial" w:hAnsi="Arial" w:cs="Arial"/>
          <w:sz w:val="24"/>
          <w:szCs w:val="28"/>
        </w:rPr>
        <w:t>al</w:t>
      </w:r>
      <w:r w:rsidRPr="00FC6A3E">
        <w:rPr>
          <w:rFonts w:ascii="Arial" w:hAnsi="Arial" w:cs="Arial"/>
          <w:sz w:val="24"/>
          <w:szCs w:val="28"/>
        </w:rPr>
        <w:t xml:space="preserve"> meziroční růst (o 1 346 klientů). </w:t>
      </w:r>
      <w:r w:rsidR="00FC6A3E" w:rsidRPr="00FC6A3E">
        <w:rPr>
          <w:rFonts w:ascii="Arial" w:hAnsi="Arial" w:cs="Arial"/>
          <w:sz w:val="24"/>
          <w:szCs w:val="28"/>
        </w:rPr>
        <w:t>Velký zájem a tlak na zvyšování kapacit je zejména u o</w:t>
      </w:r>
      <w:r w:rsidRPr="00FC6A3E">
        <w:rPr>
          <w:rFonts w:ascii="Arial" w:hAnsi="Arial" w:cs="Arial"/>
          <w:sz w:val="24"/>
          <w:szCs w:val="28"/>
        </w:rPr>
        <w:t>dlehčovací</w:t>
      </w:r>
      <w:r w:rsidR="00FC6A3E" w:rsidRPr="00FC6A3E">
        <w:rPr>
          <w:rFonts w:ascii="Arial" w:hAnsi="Arial" w:cs="Arial"/>
          <w:sz w:val="24"/>
          <w:szCs w:val="28"/>
        </w:rPr>
        <w:t>ch</w:t>
      </w:r>
      <w:r w:rsidRPr="00FC6A3E">
        <w:rPr>
          <w:rFonts w:ascii="Arial" w:hAnsi="Arial" w:cs="Arial"/>
          <w:sz w:val="24"/>
          <w:szCs w:val="28"/>
        </w:rPr>
        <w:t xml:space="preserve"> služ</w:t>
      </w:r>
      <w:r w:rsidR="00FC6A3E" w:rsidRPr="00FC6A3E">
        <w:rPr>
          <w:rFonts w:ascii="Arial" w:hAnsi="Arial" w:cs="Arial"/>
          <w:sz w:val="24"/>
          <w:szCs w:val="28"/>
        </w:rPr>
        <w:t>e</w:t>
      </w:r>
      <w:r w:rsidRPr="00FC6A3E">
        <w:rPr>
          <w:rFonts w:ascii="Arial" w:hAnsi="Arial" w:cs="Arial"/>
          <w:sz w:val="24"/>
          <w:szCs w:val="28"/>
        </w:rPr>
        <w:t xml:space="preserve">b </w:t>
      </w:r>
      <w:r w:rsidR="00FC6A3E" w:rsidRPr="00FC6A3E">
        <w:rPr>
          <w:rFonts w:ascii="Arial" w:hAnsi="Arial" w:cs="Arial"/>
          <w:sz w:val="24"/>
          <w:szCs w:val="28"/>
        </w:rPr>
        <w:t>a</w:t>
      </w:r>
      <w:r w:rsidRPr="00FC6A3E">
        <w:rPr>
          <w:rFonts w:ascii="Arial" w:hAnsi="Arial" w:cs="Arial"/>
          <w:sz w:val="24"/>
          <w:szCs w:val="28"/>
        </w:rPr>
        <w:t xml:space="preserve"> osobní asistenc</w:t>
      </w:r>
      <w:r w:rsidR="00FC6A3E" w:rsidRPr="00FC6A3E">
        <w:rPr>
          <w:rFonts w:ascii="Arial" w:hAnsi="Arial" w:cs="Arial"/>
          <w:sz w:val="24"/>
          <w:szCs w:val="28"/>
        </w:rPr>
        <w:t>e</w:t>
      </w:r>
      <w:r w:rsidRPr="00FC6A3E">
        <w:rPr>
          <w:rFonts w:ascii="Arial" w:hAnsi="Arial" w:cs="Arial"/>
          <w:sz w:val="24"/>
          <w:szCs w:val="28"/>
        </w:rPr>
        <w:t>.</w:t>
      </w:r>
      <w:r w:rsidRPr="002C3010">
        <w:rPr>
          <w:rFonts w:ascii="Arial" w:hAnsi="Arial" w:cs="Arial"/>
          <w:sz w:val="24"/>
          <w:szCs w:val="28"/>
        </w:rPr>
        <w:t xml:space="preserve"> </w:t>
      </w:r>
      <w:r w:rsidRPr="00FC6A3E">
        <w:rPr>
          <w:rFonts w:ascii="Arial" w:hAnsi="Arial" w:cs="Arial"/>
          <w:sz w:val="24"/>
          <w:szCs w:val="28"/>
        </w:rPr>
        <w:t xml:space="preserve">Velký zájem vzbuzuje </w:t>
      </w:r>
      <w:r w:rsidR="00FC6A3E" w:rsidRPr="00FC6A3E">
        <w:rPr>
          <w:rFonts w:ascii="Arial" w:hAnsi="Arial" w:cs="Arial"/>
          <w:sz w:val="24"/>
          <w:szCs w:val="28"/>
        </w:rPr>
        <w:t xml:space="preserve">rovněž </w:t>
      </w:r>
      <w:r w:rsidRPr="00FC6A3E">
        <w:rPr>
          <w:rFonts w:ascii="Arial" w:hAnsi="Arial" w:cs="Arial"/>
          <w:sz w:val="24"/>
          <w:szCs w:val="28"/>
        </w:rPr>
        <w:t xml:space="preserve">tísňová péče, která </w:t>
      </w:r>
      <w:r w:rsidR="00FC6A3E" w:rsidRPr="00FC6A3E">
        <w:rPr>
          <w:rFonts w:ascii="Arial" w:hAnsi="Arial" w:cs="Arial"/>
          <w:sz w:val="24"/>
          <w:szCs w:val="28"/>
        </w:rPr>
        <w:t>výrazně zvyšuje své kapacity</w:t>
      </w:r>
      <w:r w:rsidRPr="00FC6A3E">
        <w:rPr>
          <w:rFonts w:ascii="Arial" w:hAnsi="Arial" w:cs="Arial"/>
          <w:sz w:val="24"/>
          <w:szCs w:val="28"/>
        </w:rPr>
        <w:t xml:space="preserve"> od roku 2017.</w:t>
      </w:r>
      <w:r w:rsidRPr="00FC6A3E">
        <w:rPr>
          <w:rStyle w:val="Odkaznavysvtlivky"/>
          <w:rFonts w:ascii="Arial" w:hAnsi="Arial"/>
          <w:sz w:val="24"/>
        </w:rPr>
        <w:endnoteReference w:id="51"/>
      </w:r>
      <w:r w:rsidRPr="002C3010">
        <w:rPr>
          <w:rFonts w:ascii="Arial" w:hAnsi="Arial" w:cs="Arial"/>
          <w:sz w:val="24"/>
          <w:szCs w:val="28"/>
        </w:rPr>
        <w:t xml:space="preserve"> </w:t>
      </w:r>
    </w:p>
    <w:p w14:paraId="24960EAC" w14:textId="1E84986E" w:rsidR="00FC6A3E" w:rsidRPr="00FC6A3E" w:rsidRDefault="00FC6A3E" w:rsidP="00C74307">
      <w:pPr>
        <w:spacing w:line="360" w:lineRule="auto"/>
        <w:jc w:val="both"/>
        <w:rPr>
          <w:rFonts w:ascii="Arial" w:hAnsi="Arial" w:cs="Arial"/>
          <w:sz w:val="24"/>
        </w:rPr>
      </w:pPr>
      <w:r>
        <w:rPr>
          <w:rFonts w:ascii="Arial" w:hAnsi="Arial" w:cs="Arial"/>
          <w:sz w:val="24"/>
          <w:szCs w:val="28"/>
        </w:rPr>
        <w:lastRenderedPageBreak/>
        <w:t xml:space="preserve">Když se zaměříme na příjemce příspěvků na péči, je zřejmý nárůst jejich počtu. </w:t>
      </w:r>
      <w:r w:rsidRPr="00FC6A3E">
        <w:rPr>
          <w:rFonts w:ascii="Arial" w:hAnsi="Arial" w:cs="Arial"/>
          <w:b/>
          <w:bCs/>
          <w:sz w:val="24"/>
        </w:rPr>
        <w:t>Příspěvek na péči</w:t>
      </w:r>
      <w:r w:rsidRPr="00FC6A3E">
        <w:rPr>
          <w:rFonts w:ascii="Arial" w:hAnsi="Arial" w:cs="Arial"/>
          <w:sz w:val="24"/>
        </w:rPr>
        <w:t xml:space="preserve"> </w:t>
      </w:r>
      <w:r w:rsidR="00E317FE">
        <w:rPr>
          <w:rFonts w:ascii="Arial" w:hAnsi="Arial" w:cs="Arial"/>
          <w:sz w:val="24"/>
        </w:rPr>
        <w:t>v březnu</w:t>
      </w:r>
      <w:r w:rsidRPr="00FC6A3E">
        <w:rPr>
          <w:rFonts w:ascii="Arial" w:hAnsi="Arial" w:cs="Arial"/>
          <w:sz w:val="24"/>
        </w:rPr>
        <w:t xml:space="preserve"> </w:t>
      </w:r>
      <w:r w:rsidR="009B1A8F">
        <w:rPr>
          <w:rFonts w:ascii="Arial" w:hAnsi="Arial" w:cs="Arial"/>
          <w:sz w:val="24"/>
        </w:rPr>
        <w:t xml:space="preserve">2023 </w:t>
      </w:r>
      <w:r w:rsidRPr="00FC6A3E">
        <w:rPr>
          <w:rFonts w:ascii="Arial" w:hAnsi="Arial" w:cs="Arial"/>
          <w:sz w:val="24"/>
        </w:rPr>
        <w:t>pobíralo 3</w:t>
      </w:r>
      <w:r w:rsidR="009B1A8F">
        <w:rPr>
          <w:rFonts w:ascii="Arial" w:hAnsi="Arial" w:cs="Arial"/>
          <w:sz w:val="24"/>
        </w:rPr>
        <w:t>71,8</w:t>
      </w:r>
      <w:r w:rsidRPr="00FC6A3E">
        <w:rPr>
          <w:rFonts w:ascii="Arial" w:hAnsi="Arial" w:cs="Arial"/>
          <w:sz w:val="24"/>
        </w:rPr>
        <w:t> tis</w:t>
      </w:r>
      <w:r w:rsidR="009B1A8F">
        <w:rPr>
          <w:rFonts w:ascii="Arial" w:hAnsi="Arial" w:cs="Arial"/>
          <w:sz w:val="24"/>
        </w:rPr>
        <w:t xml:space="preserve">., zatímco </w:t>
      </w:r>
      <w:r w:rsidRPr="00FC6A3E">
        <w:rPr>
          <w:rFonts w:ascii="Arial" w:hAnsi="Arial" w:cs="Arial"/>
          <w:sz w:val="24"/>
        </w:rPr>
        <w:t>v roce 202</w:t>
      </w:r>
      <w:r w:rsidR="00562DE0">
        <w:rPr>
          <w:rFonts w:ascii="Arial" w:hAnsi="Arial" w:cs="Arial"/>
          <w:sz w:val="24"/>
        </w:rPr>
        <w:t>2</w:t>
      </w:r>
      <w:r w:rsidRPr="00FC6A3E">
        <w:rPr>
          <w:rFonts w:ascii="Arial" w:hAnsi="Arial" w:cs="Arial"/>
          <w:sz w:val="24"/>
        </w:rPr>
        <w:t xml:space="preserve"> to bylo 363 tisíce osob.</w:t>
      </w:r>
      <w:r w:rsidRPr="00FC6A3E">
        <w:rPr>
          <w:rStyle w:val="Odkaznavysvtlivky"/>
          <w:rFonts w:ascii="Arial" w:hAnsi="Arial"/>
          <w:sz w:val="24"/>
        </w:rPr>
        <w:endnoteReference w:id="52"/>
      </w:r>
      <w:r>
        <w:rPr>
          <w:rFonts w:ascii="Arial" w:hAnsi="Arial" w:cs="Arial"/>
          <w:sz w:val="24"/>
        </w:rPr>
        <w:t xml:space="preserve"> (</w:t>
      </w:r>
      <w:r>
        <w:rPr>
          <w:rFonts w:ascii="Arial" w:hAnsi="Arial" w:cs="Arial"/>
          <w:sz w:val="24"/>
          <w:szCs w:val="28"/>
        </w:rPr>
        <w:t>viz tabulka níže)</w:t>
      </w:r>
    </w:p>
    <w:p w14:paraId="3762B629" w14:textId="5D1B3A3D" w:rsidR="00FC6A3E" w:rsidRDefault="009B1A8F" w:rsidP="00C74307">
      <w:pPr>
        <w:spacing w:line="360" w:lineRule="auto"/>
        <w:jc w:val="both"/>
        <w:rPr>
          <w:rFonts w:ascii="Arial" w:hAnsi="Arial" w:cs="Arial"/>
          <w:sz w:val="24"/>
          <w:szCs w:val="28"/>
        </w:rPr>
      </w:pPr>
      <w:r>
        <w:rPr>
          <w:rFonts w:ascii="Arial" w:hAnsi="Arial" w:cs="Arial"/>
          <w:sz w:val="24"/>
          <w:szCs w:val="28"/>
        </w:rPr>
        <w:t xml:space="preserve">Z šetření Fondu dalšího vzdělávání vyplývá, že </w:t>
      </w:r>
      <w:r w:rsidR="00C74307" w:rsidRPr="002C3010">
        <w:rPr>
          <w:rFonts w:ascii="Arial" w:hAnsi="Arial" w:cs="Arial"/>
          <w:sz w:val="24"/>
          <w:szCs w:val="28"/>
        </w:rPr>
        <w:t xml:space="preserve">22 % pečujících je zcela závislých na příspěvku na péči, 48 % na příjmu životního partnera a 23 % </w:t>
      </w:r>
      <w:r w:rsidR="00FC6A3E">
        <w:rPr>
          <w:rFonts w:ascii="Arial" w:hAnsi="Arial" w:cs="Arial"/>
          <w:sz w:val="24"/>
          <w:szCs w:val="28"/>
        </w:rPr>
        <w:t>má jako hlavní zdroj příjmu</w:t>
      </w:r>
      <w:r w:rsidR="00C74307" w:rsidRPr="002C3010">
        <w:rPr>
          <w:rFonts w:ascii="Arial" w:hAnsi="Arial" w:cs="Arial"/>
          <w:sz w:val="24"/>
          <w:szCs w:val="28"/>
        </w:rPr>
        <w:t xml:space="preserve"> svůj osobní příjem.</w:t>
      </w:r>
      <w:r w:rsidR="00C74307">
        <w:rPr>
          <w:rStyle w:val="Odkaznavysvtlivky"/>
          <w:rFonts w:ascii="Arial" w:hAnsi="Arial"/>
          <w:sz w:val="24"/>
        </w:rPr>
        <w:endnoteReference w:id="53"/>
      </w:r>
      <w:r w:rsidR="00C74307" w:rsidRPr="002C3010">
        <w:rPr>
          <w:rFonts w:ascii="Arial" w:hAnsi="Arial" w:cs="Arial"/>
          <w:sz w:val="24"/>
          <w:szCs w:val="28"/>
        </w:rPr>
        <w:t xml:space="preserve"> </w:t>
      </w:r>
    </w:p>
    <w:p w14:paraId="78962AD2" w14:textId="33F5B360" w:rsidR="00287D3B" w:rsidRDefault="00287D3B" w:rsidP="00C74307">
      <w:pPr>
        <w:spacing w:line="360" w:lineRule="auto"/>
        <w:jc w:val="both"/>
        <w:rPr>
          <w:rFonts w:ascii="Arial" w:hAnsi="Arial" w:cs="Arial"/>
          <w:sz w:val="24"/>
          <w:szCs w:val="28"/>
        </w:rPr>
      </w:pPr>
    </w:p>
    <w:p w14:paraId="3A53B431" w14:textId="77777777" w:rsidR="00287D3B" w:rsidRDefault="00287D3B" w:rsidP="00287D3B">
      <w:pPr>
        <w:rPr>
          <w:b/>
          <w:bCs/>
          <w:color w:val="4472C4"/>
          <w:sz w:val="20"/>
          <w:szCs w:val="20"/>
          <w:lang w:eastAsia="cs-CZ"/>
        </w:rPr>
      </w:pPr>
      <w:r>
        <w:rPr>
          <w:b/>
          <w:bCs/>
          <w:color w:val="4472C4"/>
          <w:sz w:val="20"/>
          <w:szCs w:val="20"/>
          <w:lang w:eastAsia="cs-CZ"/>
        </w:rPr>
        <w:t>Tabulka č. 2: Vývoj počtu příjemců příspěvku na péči v letech 2013–2022</w:t>
      </w:r>
    </w:p>
    <w:tbl>
      <w:tblPr>
        <w:tblW w:w="9413" w:type="dxa"/>
        <w:tblCellMar>
          <w:left w:w="0" w:type="dxa"/>
          <w:right w:w="0" w:type="dxa"/>
        </w:tblCellMar>
        <w:tblLook w:val="04A0" w:firstRow="1" w:lastRow="0" w:firstColumn="1" w:lastColumn="0" w:noHBand="0" w:noVBand="1"/>
      </w:tblPr>
      <w:tblGrid>
        <w:gridCol w:w="843"/>
        <w:gridCol w:w="843"/>
        <w:gridCol w:w="140"/>
        <w:gridCol w:w="703"/>
        <w:gridCol w:w="140"/>
        <w:gridCol w:w="703"/>
        <w:gridCol w:w="140"/>
        <w:gridCol w:w="703"/>
        <w:gridCol w:w="140"/>
        <w:gridCol w:w="703"/>
        <w:gridCol w:w="140"/>
        <w:gridCol w:w="703"/>
        <w:gridCol w:w="140"/>
        <w:gridCol w:w="843"/>
        <w:gridCol w:w="843"/>
        <w:gridCol w:w="843"/>
        <w:gridCol w:w="843"/>
      </w:tblGrid>
      <w:tr w:rsidR="00287D3B" w14:paraId="616C7B81" w14:textId="77777777" w:rsidTr="00562DE0">
        <w:trPr>
          <w:gridAfter w:val="5"/>
          <w:wAfter w:w="3512" w:type="dxa"/>
          <w:trHeight w:val="317"/>
        </w:trPr>
        <w:tc>
          <w:tcPr>
            <w:tcW w:w="843" w:type="dxa"/>
            <w:noWrap/>
            <w:tcMar>
              <w:top w:w="0" w:type="dxa"/>
              <w:left w:w="70" w:type="dxa"/>
              <w:bottom w:w="0" w:type="dxa"/>
              <w:right w:w="70" w:type="dxa"/>
            </w:tcMar>
            <w:vAlign w:val="bottom"/>
            <w:hideMark/>
          </w:tcPr>
          <w:p w14:paraId="24A0669F" w14:textId="77777777" w:rsidR="00287D3B" w:rsidRDefault="00287D3B" w:rsidP="00E11FE9">
            <w:pPr>
              <w:rPr>
                <w:b/>
                <w:bCs/>
                <w:color w:val="4472C4"/>
                <w:sz w:val="20"/>
                <w:szCs w:val="20"/>
                <w:lang w:eastAsia="cs-CZ"/>
              </w:rPr>
            </w:pPr>
          </w:p>
        </w:tc>
        <w:tc>
          <w:tcPr>
            <w:tcW w:w="843" w:type="dxa"/>
            <w:noWrap/>
            <w:tcMar>
              <w:top w:w="0" w:type="dxa"/>
              <w:left w:w="70" w:type="dxa"/>
              <w:bottom w:w="0" w:type="dxa"/>
              <w:right w:w="70" w:type="dxa"/>
            </w:tcMar>
            <w:vAlign w:val="bottom"/>
            <w:hideMark/>
          </w:tcPr>
          <w:p w14:paraId="388D9730" w14:textId="77777777" w:rsidR="00287D3B" w:rsidRDefault="00287D3B" w:rsidP="00E11FE9">
            <w:pPr>
              <w:rPr>
                <w:rFonts w:ascii="Times New Roman" w:eastAsia="Times New Roman" w:hAnsi="Times New Roman" w:cs="Times New Roman"/>
                <w:sz w:val="20"/>
                <w:szCs w:val="20"/>
                <w:lang w:eastAsia="cs-CZ"/>
              </w:rPr>
            </w:pPr>
          </w:p>
        </w:tc>
        <w:tc>
          <w:tcPr>
            <w:tcW w:w="843" w:type="dxa"/>
            <w:gridSpan w:val="2"/>
            <w:noWrap/>
            <w:tcMar>
              <w:top w:w="0" w:type="dxa"/>
              <w:left w:w="70" w:type="dxa"/>
              <w:bottom w:w="0" w:type="dxa"/>
              <w:right w:w="70" w:type="dxa"/>
            </w:tcMar>
            <w:vAlign w:val="bottom"/>
            <w:hideMark/>
          </w:tcPr>
          <w:p w14:paraId="2AEDD379" w14:textId="77777777" w:rsidR="00287D3B" w:rsidRDefault="00287D3B" w:rsidP="00E11FE9">
            <w:pPr>
              <w:rPr>
                <w:rFonts w:ascii="Times New Roman" w:eastAsia="Times New Roman" w:hAnsi="Times New Roman" w:cs="Times New Roman"/>
                <w:sz w:val="20"/>
                <w:szCs w:val="20"/>
                <w:lang w:eastAsia="cs-CZ"/>
              </w:rPr>
            </w:pPr>
          </w:p>
        </w:tc>
        <w:tc>
          <w:tcPr>
            <w:tcW w:w="843" w:type="dxa"/>
            <w:gridSpan w:val="2"/>
            <w:noWrap/>
            <w:tcMar>
              <w:top w:w="0" w:type="dxa"/>
              <w:left w:w="70" w:type="dxa"/>
              <w:bottom w:w="0" w:type="dxa"/>
              <w:right w:w="70" w:type="dxa"/>
            </w:tcMar>
            <w:vAlign w:val="bottom"/>
            <w:hideMark/>
          </w:tcPr>
          <w:p w14:paraId="00D683EE" w14:textId="77777777" w:rsidR="00287D3B" w:rsidRDefault="00287D3B" w:rsidP="00E11FE9">
            <w:pPr>
              <w:rPr>
                <w:rFonts w:ascii="Times New Roman" w:eastAsia="Times New Roman" w:hAnsi="Times New Roman" w:cs="Times New Roman"/>
                <w:sz w:val="20"/>
                <w:szCs w:val="20"/>
                <w:lang w:eastAsia="cs-CZ"/>
              </w:rPr>
            </w:pPr>
          </w:p>
        </w:tc>
        <w:tc>
          <w:tcPr>
            <w:tcW w:w="843" w:type="dxa"/>
            <w:gridSpan w:val="2"/>
            <w:noWrap/>
            <w:tcMar>
              <w:top w:w="0" w:type="dxa"/>
              <w:left w:w="70" w:type="dxa"/>
              <w:bottom w:w="0" w:type="dxa"/>
              <w:right w:w="70" w:type="dxa"/>
            </w:tcMar>
            <w:vAlign w:val="bottom"/>
            <w:hideMark/>
          </w:tcPr>
          <w:p w14:paraId="408FF310" w14:textId="77777777" w:rsidR="00287D3B" w:rsidRDefault="00287D3B" w:rsidP="00E11FE9">
            <w:pPr>
              <w:rPr>
                <w:rFonts w:ascii="Times New Roman" w:eastAsia="Times New Roman" w:hAnsi="Times New Roman" w:cs="Times New Roman"/>
                <w:sz w:val="20"/>
                <w:szCs w:val="20"/>
                <w:lang w:eastAsia="cs-CZ"/>
              </w:rPr>
            </w:pPr>
          </w:p>
        </w:tc>
        <w:tc>
          <w:tcPr>
            <w:tcW w:w="843" w:type="dxa"/>
            <w:gridSpan w:val="2"/>
            <w:noWrap/>
            <w:tcMar>
              <w:top w:w="0" w:type="dxa"/>
              <w:left w:w="70" w:type="dxa"/>
              <w:bottom w:w="0" w:type="dxa"/>
              <w:right w:w="70" w:type="dxa"/>
            </w:tcMar>
            <w:vAlign w:val="bottom"/>
            <w:hideMark/>
          </w:tcPr>
          <w:p w14:paraId="6D6C9017" w14:textId="77777777" w:rsidR="00287D3B" w:rsidRDefault="00287D3B" w:rsidP="00E11FE9">
            <w:pPr>
              <w:rPr>
                <w:rFonts w:ascii="Times New Roman" w:eastAsia="Times New Roman" w:hAnsi="Times New Roman" w:cs="Times New Roman"/>
                <w:sz w:val="20"/>
                <w:szCs w:val="20"/>
                <w:lang w:eastAsia="cs-CZ"/>
              </w:rPr>
            </w:pPr>
          </w:p>
        </w:tc>
        <w:tc>
          <w:tcPr>
            <w:tcW w:w="843" w:type="dxa"/>
            <w:gridSpan w:val="2"/>
            <w:noWrap/>
            <w:tcMar>
              <w:top w:w="0" w:type="dxa"/>
              <w:left w:w="70" w:type="dxa"/>
              <w:bottom w:w="0" w:type="dxa"/>
              <w:right w:w="70" w:type="dxa"/>
            </w:tcMar>
            <w:vAlign w:val="bottom"/>
            <w:hideMark/>
          </w:tcPr>
          <w:p w14:paraId="78E0C181" w14:textId="77777777" w:rsidR="00287D3B" w:rsidRDefault="00287D3B" w:rsidP="00E11FE9">
            <w:pPr>
              <w:rPr>
                <w:rFonts w:ascii="Times New Roman" w:eastAsia="Times New Roman" w:hAnsi="Times New Roman" w:cs="Times New Roman"/>
                <w:sz w:val="20"/>
                <w:szCs w:val="20"/>
                <w:lang w:eastAsia="cs-CZ"/>
              </w:rPr>
            </w:pPr>
          </w:p>
        </w:tc>
      </w:tr>
      <w:tr w:rsidR="00287D3B" w14:paraId="023D0E97" w14:textId="77777777" w:rsidTr="00562DE0">
        <w:trPr>
          <w:trHeight w:val="317"/>
        </w:trPr>
        <w:tc>
          <w:tcPr>
            <w:tcW w:w="1826" w:type="dxa"/>
            <w:gridSpan w:val="3"/>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19CAF7A1" w14:textId="77777777" w:rsidR="00287D3B" w:rsidRDefault="00287D3B" w:rsidP="00287D3B">
            <w:pPr>
              <w:rPr>
                <w:b/>
                <w:bCs/>
                <w:color w:val="000000"/>
                <w:sz w:val="20"/>
                <w:szCs w:val="20"/>
                <w:lang w:eastAsia="cs-CZ"/>
              </w:rPr>
            </w:pPr>
            <w:r>
              <w:rPr>
                <w:b/>
                <w:bCs/>
                <w:color w:val="000000"/>
                <w:sz w:val="20"/>
                <w:szCs w:val="20"/>
                <w:lang w:eastAsia="cs-CZ"/>
              </w:rPr>
              <w:t>Ukazatel/ Rok</w:t>
            </w:r>
          </w:p>
        </w:tc>
        <w:tc>
          <w:tcPr>
            <w:tcW w:w="843" w:type="dxa"/>
            <w:gridSpan w:val="2"/>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1A8AA751" w14:textId="77777777" w:rsidR="00287D3B" w:rsidRDefault="00287D3B" w:rsidP="00E11FE9">
            <w:pPr>
              <w:jc w:val="center"/>
              <w:rPr>
                <w:b/>
                <w:bCs/>
                <w:color w:val="000000"/>
                <w:sz w:val="20"/>
                <w:szCs w:val="20"/>
                <w:lang w:eastAsia="cs-CZ"/>
              </w:rPr>
            </w:pPr>
            <w:r>
              <w:rPr>
                <w:b/>
                <w:bCs/>
                <w:color w:val="000000"/>
                <w:sz w:val="20"/>
                <w:szCs w:val="20"/>
                <w:lang w:eastAsia="cs-CZ"/>
              </w:rPr>
              <w:t>2013</w:t>
            </w:r>
          </w:p>
        </w:tc>
        <w:tc>
          <w:tcPr>
            <w:tcW w:w="843" w:type="dxa"/>
            <w:gridSpan w:val="2"/>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5441A15F" w14:textId="77777777" w:rsidR="00287D3B" w:rsidRDefault="00287D3B" w:rsidP="00E11FE9">
            <w:pPr>
              <w:jc w:val="center"/>
              <w:rPr>
                <w:b/>
                <w:bCs/>
                <w:color w:val="000000"/>
                <w:sz w:val="20"/>
                <w:szCs w:val="20"/>
                <w:lang w:eastAsia="cs-CZ"/>
              </w:rPr>
            </w:pPr>
            <w:r>
              <w:rPr>
                <w:b/>
                <w:bCs/>
                <w:color w:val="000000"/>
                <w:sz w:val="20"/>
                <w:szCs w:val="20"/>
                <w:lang w:eastAsia="cs-CZ"/>
              </w:rPr>
              <w:t>2014</w:t>
            </w:r>
          </w:p>
        </w:tc>
        <w:tc>
          <w:tcPr>
            <w:tcW w:w="843" w:type="dxa"/>
            <w:gridSpan w:val="2"/>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74D89645" w14:textId="77777777" w:rsidR="00287D3B" w:rsidRDefault="00287D3B" w:rsidP="00E11FE9">
            <w:pPr>
              <w:jc w:val="center"/>
              <w:rPr>
                <w:b/>
                <w:bCs/>
                <w:color w:val="000000"/>
                <w:sz w:val="20"/>
                <w:szCs w:val="20"/>
                <w:lang w:eastAsia="cs-CZ"/>
              </w:rPr>
            </w:pPr>
            <w:r>
              <w:rPr>
                <w:b/>
                <w:bCs/>
                <w:color w:val="000000"/>
                <w:sz w:val="20"/>
                <w:szCs w:val="20"/>
                <w:lang w:eastAsia="cs-CZ"/>
              </w:rPr>
              <w:t>2015</w:t>
            </w:r>
          </w:p>
        </w:tc>
        <w:tc>
          <w:tcPr>
            <w:tcW w:w="843" w:type="dxa"/>
            <w:gridSpan w:val="2"/>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3409D053" w14:textId="77777777" w:rsidR="00287D3B" w:rsidRDefault="00287D3B" w:rsidP="00E11FE9">
            <w:pPr>
              <w:jc w:val="center"/>
              <w:rPr>
                <w:b/>
                <w:bCs/>
                <w:color w:val="000000"/>
                <w:sz w:val="20"/>
                <w:szCs w:val="20"/>
                <w:lang w:eastAsia="cs-CZ"/>
              </w:rPr>
            </w:pPr>
            <w:r>
              <w:rPr>
                <w:b/>
                <w:bCs/>
                <w:color w:val="000000"/>
                <w:sz w:val="20"/>
                <w:szCs w:val="20"/>
                <w:lang w:eastAsia="cs-CZ"/>
              </w:rPr>
              <w:t>2016</w:t>
            </w:r>
          </w:p>
        </w:tc>
        <w:tc>
          <w:tcPr>
            <w:tcW w:w="843" w:type="dxa"/>
            <w:gridSpan w:val="2"/>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7789D258" w14:textId="77777777" w:rsidR="00287D3B" w:rsidRDefault="00287D3B" w:rsidP="00E11FE9">
            <w:pPr>
              <w:jc w:val="center"/>
              <w:rPr>
                <w:b/>
                <w:bCs/>
                <w:color w:val="000000"/>
                <w:sz w:val="20"/>
                <w:szCs w:val="20"/>
                <w:lang w:eastAsia="cs-CZ"/>
              </w:rPr>
            </w:pPr>
            <w:r>
              <w:rPr>
                <w:b/>
                <w:bCs/>
                <w:color w:val="000000"/>
                <w:sz w:val="20"/>
                <w:szCs w:val="20"/>
                <w:lang w:eastAsia="cs-CZ"/>
              </w:rPr>
              <w:t>2017</w:t>
            </w:r>
          </w:p>
        </w:tc>
        <w:tc>
          <w:tcPr>
            <w:tcW w:w="843" w:type="dxa"/>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7D578422" w14:textId="77777777" w:rsidR="00287D3B" w:rsidRDefault="00287D3B" w:rsidP="00E11FE9">
            <w:pPr>
              <w:jc w:val="center"/>
              <w:rPr>
                <w:b/>
                <w:bCs/>
                <w:color w:val="000000"/>
                <w:sz w:val="20"/>
                <w:szCs w:val="20"/>
                <w:lang w:eastAsia="cs-CZ"/>
              </w:rPr>
            </w:pPr>
            <w:r>
              <w:rPr>
                <w:b/>
                <w:bCs/>
                <w:color w:val="000000"/>
                <w:sz w:val="20"/>
                <w:szCs w:val="20"/>
                <w:lang w:eastAsia="cs-CZ"/>
              </w:rPr>
              <w:t>2019</w:t>
            </w:r>
          </w:p>
        </w:tc>
        <w:tc>
          <w:tcPr>
            <w:tcW w:w="843" w:type="dxa"/>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21750A75" w14:textId="77777777" w:rsidR="00287D3B" w:rsidRDefault="00287D3B" w:rsidP="00E11FE9">
            <w:pPr>
              <w:jc w:val="center"/>
              <w:rPr>
                <w:b/>
                <w:bCs/>
                <w:color w:val="000000"/>
                <w:sz w:val="20"/>
                <w:szCs w:val="20"/>
                <w:lang w:eastAsia="cs-CZ"/>
              </w:rPr>
            </w:pPr>
            <w:r>
              <w:rPr>
                <w:b/>
                <w:bCs/>
                <w:color w:val="000000"/>
                <w:sz w:val="20"/>
                <w:szCs w:val="20"/>
                <w:lang w:eastAsia="cs-CZ"/>
              </w:rPr>
              <w:t>2020</w:t>
            </w:r>
          </w:p>
        </w:tc>
        <w:tc>
          <w:tcPr>
            <w:tcW w:w="843" w:type="dxa"/>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221EF8F5" w14:textId="77777777" w:rsidR="00287D3B" w:rsidRDefault="00287D3B" w:rsidP="00E11FE9">
            <w:pPr>
              <w:jc w:val="center"/>
              <w:rPr>
                <w:b/>
                <w:bCs/>
                <w:color w:val="000000"/>
                <w:sz w:val="20"/>
                <w:szCs w:val="20"/>
                <w:lang w:eastAsia="cs-CZ"/>
              </w:rPr>
            </w:pPr>
            <w:r>
              <w:rPr>
                <w:b/>
                <w:bCs/>
                <w:color w:val="000000"/>
                <w:sz w:val="20"/>
                <w:szCs w:val="20"/>
                <w:lang w:eastAsia="cs-CZ"/>
              </w:rPr>
              <w:t>2021</w:t>
            </w:r>
          </w:p>
        </w:tc>
        <w:tc>
          <w:tcPr>
            <w:tcW w:w="843" w:type="dxa"/>
            <w:tcBorders>
              <w:top w:val="single" w:sz="8" w:space="0" w:color="323E4F"/>
              <w:left w:val="nil"/>
              <w:bottom w:val="single" w:sz="8" w:space="0" w:color="323E4F"/>
              <w:right w:val="nil"/>
            </w:tcBorders>
            <w:shd w:val="clear" w:color="auto" w:fill="D5DCE4"/>
            <w:tcMar>
              <w:top w:w="0" w:type="dxa"/>
              <w:left w:w="70" w:type="dxa"/>
              <w:bottom w:w="0" w:type="dxa"/>
              <w:right w:w="70" w:type="dxa"/>
            </w:tcMar>
            <w:vAlign w:val="center"/>
            <w:hideMark/>
          </w:tcPr>
          <w:p w14:paraId="1941894D" w14:textId="77777777" w:rsidR="00287D3B" w:rsidRDefault="00287D3B" w:rsidP="00E11FE9">
            <w:pPr>
              <w:jc w:val="center"/>
              <w:rPr>
                <w:b/>
                <w:bCs/>
                <w:color w:val="000000"/>
                <w:sz w:val="20"/>
                <w:szCs w:val="20"/>
                <w:lang w:eastAsia="cs-CZ"/>
              </w:rPr>
            </w:pPr>
            <w:r>
              <w:rPr>
                <w:b/>
                <w:bCs/>
                <w:color w:val="000000"/>
                <w:sz w:val="20"/>
                <w:szCs w:val="20"/>
                <w:lang w:eastAsia="cs-CZ"/>
              </w:rPr>
              <w:t>2022</w:t>
            </w:r>
          </w:p>
        </w:tc>
      </w:tr>
      <w:tr w:rsidR="00287D3B" w14:paraId="443D271E" w14:textId="77777777" w:rsidTr="00562DE0">
        <w:trPr>
          <w:trHeight w:val="368"/>
        </w:trPr>
        <w:tc>
          <w:tcPr>
            <w:tcW w:w="1826" w:type="dxa"/>
            <w:gridSpan w:val="3"/>
            <w:tcMar>
              <w:top w:w="0" w:type="dxa"/>
              <w:left w:w="70" w:type="dxa"/>
              <w:bottom w:w="0" w:type="dxa"/>
              <w:right w:w="70" w:type="dxa"/>
            </w:tcMar>
            <w:vAlign w:val="center"/>
            <w:hideMark/>
          </w:tcPr>
          <w:p w14:paraId="7B65727F" w14:textId="77777777" w:rsidR="00287D3B" w:rsidRDefault="00287D3B" w:rsidP="00E11FE9">
            <w:pPr>
              <w:rPr>
                <w:color w:val="000000"/>
                <w:sz w:val="20"/>
                <w:szCs w:val="20"/>
                <w:lang w:eastAsia="cs-CZ"/>
              </w:rPr>
            </w:pPr>
            <w:r>
              <w:rPr>
                <w:color w:val="000000"/>
                <w:sz w:val="20"/>
                <w:szCs w:val="20"/>
                <w:lang w:eastAsia="cs-CZ"/>
              </w:rPr>
              <w:t>Počet příjemců</w:t>
            </w:r>
          </w:p>
        </w:tc>
        <w:tc>
          <w:tcPr>
            <w:tcW w:w="843" w:type="dxa"/>
            <w:gridSpan w:val="2"/>
            <w:tcMar>
              <w:top w:w="0" w:type="dxa"/>
              <w:left w:w="70" w:type="dxa"/>
              <w:bottom w:w="0" w:type="dxa"/>
              <w:right w:w="70" w:type="dxa"/>
            </w:tcMar>
            <w:vAlign w:val="center"/>
            <w:hideMark/>
          </w:tcPr>
          <w:p w14:paraId="7DE66274" w14:textId="77777777" w:rsidR="00287D3B" w:rsidRDefault="00287D3B" w:rsidP="00E11FE9">
            <w:pPr>
              <w:jc w:val="center"/>
              <w:rPr>
                <w:color w:val="000000"/>
                <w:sz w:val="20"/>
                <w:szCs w:val="20"/>
                <w:lang w:eastAsia="cs-CZ"/>
              </w:rPr>
            </w:pPr>
            <w:r>
              <w:rPr>
                <w:color w:val="000000"/>
                <w:sz w:val="20"/>
                <w:szCs w:val="20"/>
                <w:lang w:eastAsia="cs-CZ"/>
              </w:rPr>
              <w:t>318 095</w:t>
            </w:r>
          </w:p>
        </w:tc>
        <w:tc>
          <w:tcPr>
            <w:tcW w:w="843" w:type="dxa"/>
            <w:gridSpan w:val="2"/>
            <w:tcMar>
              <w:top w:w="0" w:type="dxa"/>
              <w:left w:w="70" w:type="dxa"/>
              <w:bottom w:w="0" w:type="dxa"/>
              <w:right w:w="70" w:type="dxa"/>
            </w:tcMar>
            <w:vAlign w:val="center"/>
            <w:hideMark/>
          </w:tcPr>
          <w:p w14:paraId="0A5BF7B3" w14:textId="77777777" w:rsidR="00287D3B" w:rsidRDefault="00287D3B" w:rsidP="00E11FE9">
            <w:pPr>
              <w:jc w:val="center"/>
              <w:rPr>
                <w:color w:val="000000"/>
                <w:sz w:val="20"/>
                <w:szCs w:val="20"/>
                <w:lang w:eastAsia="cs-CZ"/>
              </w:rPr>
            </w:pPr>
            <w:r>
              <w:rPr>
                <w:color w:val="000000"/>
                <w:sz w:val="20"/>
                <w:szCs w:val="20"/>
                <w:lang w:eastAsia="cs-CZ"/>
              </w:rPr>
              <w:t>332 445</w:t>
            </w:r>
          </w:p>
        </w:tc>
        <w:tc>
          <w:tcPr>
            <w:tcW w:w="843" w:type="dxa"/>
            <w:gridSpan w:val="2"/>
            <w:tcMar>
              <w:top w:w="0" w:type="dxa"/>
              <w:left w:w="70" w:type="dxa"/>
              <w:bottom w:w="0" w:type="dxa"/>
              <w:right w:w="70" w:type="dxa"/>
            </w:tcMar>
            <w:vAlign w:val="center"/>
            <w:hideMark/>
          </w:tcPr>
          <w:p w14:paraId="053A55BD" w14:textId="77777777" w:rsidR="00287D3B" w:rsidRDefault="00287D3B" w:rsidP="00E11FE9">
            <w:pPr>
              <w:jc w:val="center"/>
              <w:rPr>
                <w:color w:val="000000"/>
                <w:sz w:val="20"/>
                <w:szCs w:val="20"/>
                <w:lang w:eastAsia="cs-CZ"/>
              </w:rPr>
            </w:pPr>
            <w:r>
              <w:rPr>
                <w:color w:val="000000"/>
                <w:sz w:val="20"/>
                <w:szCs w:val="20"/>
                <w:lang w:eastAsia="cs-CZ"/>
              </w:rPr>
              <w:t>340 122</w:t>
            </w:r>
          </w:p>
        </w:tc>
        <w:tc>
          <w:tcPr>
            <w:tcW w:w="843" w:type="dxa"/>
            <w:gridSpan w:val="2"/>
            <w:tcMar>
              <w:top w:w="0" w:type="dxa"/>
              <w:left w:w="70" w:type="dxa"/>
              <w:bottom w:w="0" w:type="dxa"/>
              <w:right w:w="70" w:type="dxa"/>
            </w:tcMar>
            <w:vAlign w:val="center"/>
            <w:hideMark/>
          </w:tcPr>
          <w:p w14:paraId="29F7E09E" w14:textId="77777777" w:rsidR="00287D3B" w:rsidRDefault="00287D3B" w:rsidP="00E11FE9">
            <w:pPr>
              <w:jc w:val="center"/>
              <w:rPr>
                <w:color w:val="000000"/>
                <w:sz w:val="20"/>
                <w:szCs w:val="20"/>
                <w:lang w:eastAsia="cs-CZ"/>
              </w:rPr>
            </w:pPr>
            <w:r>
              <w:rPr>
                <w:color w:val="000000"/>
                <w:sz w:val="20"/>
                <w:szCs w:val="20"/>
                <w:lang w:eastAsia="cs-CZ"/>
              </w:rPr>
              <w:t>350 238</w:t>
            </w:r>
          </w:p>
        </w:tc>
        <w:tc>
          <w:tcPr>
            <w:tcW w:w="843" w:type="dxa"/>
            <w:gridSpan w:val="2"/>
            <w:tcMar>
              <w:top w:w="0" w:type="dxa"/>
              <w:left w:w="70" w:type="dxa"/>
              <w:bottom w:w="0" w:type="dxa"/>
              <w:right w:w="70" w:type="dxa"/>
            </w:tcMar>
            <w:vAlign w:val="center"/>
            <w:hideMark/>
          </w:tcPr>
          <w:p w14:paraId="2570E6A4" w14:textId="77777777" w:rsidR="00287D3B" w:rsidRDefault="00287D3B" w:rsidP="00E11FE9">
            <w:pPr>
              <w:jc w:val="center"/>
              <w:rPr>
                <w:color w:val="000000"/>
                <w:sz w:val="20"/>
                <w:szCs w:val="20"/>
                <w:lang w:eastAsia="cs-CZ"/>
              </w:rPr>
            </w:pPr>
            <w:r>
              <w:rPr>
                <w:color w:val="000000"/>
                <w:sz w:val="20"/>
                <w:szCs w:val="20"/>
                <w:lang w:eastAsia="cs-CZ"/>
              </w:rPr>
              <w:t>356 152</w:t>
            </w:r>
          </w:p>
        </w:tc>
        <w:tc>
          <w:tcPr>
            <w:tcW w:w="843" w:type="dxa"/>
            <w:tcMar>
              <w:top w:w="0" w:type="dxa"/>
              <w:left w:w="70" w:type="dxa"/>
              <w:bottom w:w="0" w:type="dxa"/>
              <w:right w:w="70" w:type="dxa"/>
            </w:tcMar>
            <w:vAlign w:val="center"/>
            <w:hideMark/>
          </w:tcPr>
          <w:p w14:paraId="774CE1DD" w14:textId="77777777" w:rsidR="00287D3B" w:rsidRDefault="00287D3B" w:rsidP="00E11FE9">
            <w:pPr>
              <w:jc w:val="center"/>
              <w:rPr>
                <w:color w:val="000000"/>
                <w:sz w:val="20"/>
                <w:szCs w:val="20"/>
                <w:lang w:eastAsia="cs-CZ"/>
              </w:rPr>
            </w:pPr>
            <w:r>
              <w:rPr>
                <w:color w:val="000000"/>
                <w:sz w:val="20"/>
                <w:szCs w:val="20"/>
                <w:lang w:eastAsia="cs-CZ"/>
              </w:rPr>
              <w:t>366 064</w:t>
            </w:r>
          </w:p>
        </w:tc>
        <w:tc>
          <w:tcPr>
            <w:tcW w:w="843" w:type="dxa"/>
            <w:tcMar>
              <w:top w:w="0" w:type="dxa"/>
              <w:left w:w="70" w:type="dxa"/>
              <w:bottom w:w="0" w:type="dxa"/>
              <w:right w:w="70" w:type="dxa"/>
            </w:tcMar>
            <w:vAlign w:val="center"/>
            <w:hideMark/>
          </w:tcPr>
          <w:p w14:paraId="5B81D5A4" w14:textId="77777777" w:rsidR="00287D3B" w:rsidRDefault="00287D3B" w:rsidP="00E11FE9">
            <w:pPr>
              <w:jc w:val="center"/>
              <w:rPr>
                <w:color w:val="000000"/>
                <w:sz w:val="20"/>
                <w:szCs w:val="20"/>
                <w:lang w:eastAsia="cs-CZ"/>
              </w:rPr>
            </w:pPr>
            <w:r>
              <w:rPr>
                <w:color w:val="000000"/>
                <w:sz w:val="20"/>
                <w:szCs w:val="20"/>
                <w:lang w:eastAsia="cs-CZ"/>
              </w:rPr>
              <w:t>360 539</w:t>
            </w:r>
          </w:p>
        </w:tc>
        <w:tc>
          <w:tcPr>
            <w:tcW w:w="843" w:type="dxa"/>
            <w:tcMar>
              <w:top w:w="0" w:type="dxa"/>
              <w:left w:w="70" w:type="dxa"/>
              <w:bottom w:w="0" w:type="dxa"/>
              <w:right w:w="70" w:type="dxa"/>
            </w:tcMar>
            <w:vAlign w:val="center"/>
            <w:hideMark/>
          </w:tcPr>
          <w:p w14:paraId="1EEDE63F" w14:textId="77777777" w:rsidR="00287D3B" w:rsidRDefault="00287D3B" w:rsidP="00E11FE9">
            <w:pPr>
              <w:jc w:val="center"/>
              <w:rPr>
                <w:color w:val="000000"/>
                <w:sz w:val="20"/>
                <w:szCs w:val="20"/>
                <w:lang w:eastAsia="cs-CZ"/>
              </w:rPr>
            </w:pPr>
            <w:r>
              <w:rPr>
                <w:color w:val="000000"/>
                <w:sz w:val="20"/>
                <w:szCs w:val="20"/>
                <w:lang w:eastAsia="cs-CZ"/>
              </w:rPr>
              <w:t>360 049</w:t>
            </w:r>
          </w:p>
        </w:tc>
        <w:tc>
          <w:tcPr>
            <w:tcW w:w="843" w:type="dxa"/>
            <w:tcMar>
              <w:top w:w="0" w:type="dxa"/>
              <w:left w:w="70" w:type="dxa"/>
              <w:bottom w:w="0" w:type="dxa"/>
              <w:right w:w="70" w:type="dxa"/>
            </w:tcMar>
            <w:vAlign w:val="center"/>
            <w:hideMark/>
          </w:tcPr>
          <w:p w14:paraId="27A6C76B" w14:textId="77777777" w:rsidR="00287D3B" w:rsidRDefault="00287D3B" w:rsidP="00E11FE9">
            <w:pPr>
              <w:jc w:val="center"/>
              <w:rPr>
                <w:color w:val="000000"/>
                <w:sz w:val="20"/>
                <w:szCs w:val="20"/>
                <w:lang w:eastAsia="cs-CZ"/>
              </w:rPr>
            </w:pPr>
            <w:r>
              <w:rPr>
                <w:color w:val="000000"/>
                <w:sz w:val="20"/>
                <w:szCs w:val="20"/>
                <w:lang w:eastAsia="cs-CZ"/>
              </w:rPr>
              <w:t>363 458</w:t>
            </w:r>
          </w:p>
        </w:tc>
      </w:tr>
      <w:tr w:rsidR="00287D3B" w14:paraId="0C9A8289" w14:textId="77777777" w:rsidTr="00562DE0">
        <w:trPr>
          <w:trHeight w:val="520"/>
        </w:trPr>
        <w:tc>
          <w:tcPr>
            <w:tcW w:w="1826" w:type="dxa"/>
            <w:gridSpan w:val="3"/>
            <w:tcBorders>
              <w:top w:val="single" w:sz="8" w:space="0" w:color="323E4F"/>
              <w:left w:val="nil"/>
              <w:bottom w:val="nil"/>
              <w:right w:val="nil"/>
            </w:tcBorders>
            <w:tcMar>
              <w:top w:w="0" w:type="dxa"/>
              <w:left w:w="70" w:type="dxa"/>
              <w:bottom w:w="0" w:type="dxa"/>
              <w:right w:w="70" w:type="dxa"/>
            </w:tcMar>
            <w:vAlign w:val="center"/>
            <w:hideMark/>
          </w:tcPr>
          <w:p w14:paraId="79127C2B" w14:textId="77777777" w:rsidR="00287D3B" w:rsidRDefault="00287D3B" w:rsidP="00E11FE9">
            <w:pPr>
              <w:rPr>
                <w:color w:val="000000"/>
                <w:sz w:val="20"/>
                <w:szCs w:val="20"/>
                <w:lang w:eastAsia="cs-CZ"/>
              </w:rPr>
            </w:pPr>
            <w:r>
              <w:rPr>
                <w:color w:val="000000"/>
                <w:sz w:val="20"/>
                <w:szCs w:val="20"/>
                <w:lang w:eastAsia="cs-CZ"/>
              </w:rPr>
              <w:t xml:space="preserve">Neuveden registrovaný poskytovatel </w:t>
            </w:r>
          </w:p>
        </w:tc>
        <w:tc>
          <w:tcPr>
            <w:tcW w:w="843" w:type="dxa"/>
            <w:gridSpan w:val="2"/>
            <w:tcBorders>
              <w:top w:val="single" w:sz="8" w:space="0" w:color="323E4F"/>
              <w:left w:val="nil"/>
              <w:bottom w:val="nil"/>
              <w:right w:val="nil"/>
            </w:tcBorders>
            <w:tcMar>
              <w:top w:w="0" w:type="dxa"/>
              <w:left w:w="70" w:type="dxa"/>
              <w:bottom w:w="0" w:type="dxa"/>
              <w:right w:w="70" w:type="dxa"/>
            </w:tcMar>
            <w:vAlign w:val="center"/>
            <w:hideMark/>
          </w:tcPr>
          <w:p w14:paraId="55326865" w14:textId="77777777" w:rsidR="00287D3B" w:rsidRDefault="00287D3B" w:rsidP="00E11FE9">
            <w:pPr>
              <w:jc w:val="center"/>
              <w:rPr>
                <w:b/>
                <w:bCs/>
                <w:color w:val="000000"/>
                <w:sz w:val="20"/>
                <w:szCs w:val="20"/>
                <w:lang w:eastAsia="cs-CZ"/>
              </w:rPr>
            </w:pPr>
            <w:r>
              <w:rPr>
                <w:b/>
                <w:bCs/>
                <w:color w:val="000000"/>
                <w:sz w:val="20"/>
                <w:szCs w:val="20"/>
                <w:lang w:eastAsia="cs-CZ"/>
              </w:rPr>
              <w:t>225 800</w:t>
            </w:r>
          </w:p>
        </w:tc>
        <w:tc>
          <w:tcPr>
            <w:tcW w:w="843" w:type="dxa"/>
            <w:gridSpan w:val="2"/>
            <w:tcBorders>
              <w:top w:val="single" w:sz="8" w:space="0" w:color="323E4F"/>
              <w:left w:val="nil"/>
              <w:bottom w:val="nil"/>
              <w:right w:val="nil"/>
            </w:tcBorders>
            <w:tcMar>
              <w:top w:w="0" w:type="dxa"/>
              <w:left w:w="70" w:type="dxa"/>
              <w:bottom w:w="0" w:type="dxa"/>
              <w:right w:w="70" w:type="dxa"/>
            </w:tcMar>
            <w:vAlign w:val="center"/>
            <w:hideMark/>
          </w:tcPr>
          <w:p w14:paraId="09DBBE64" w14:textId="77777777" w:rsidR="00287D3B" w:rsidRDefault="00287D3B" w:rsidP="00E11FE9">
            <w:pPr>
              <w:jc w:val="center"/>
              <w:rPr>
                <w:b/>
                <w:bCs/>
                <w:color w:val="000000"/>
                <w:sz w:val="20"/>
                <w:szCs w:val="20"/>
                <w:lang w:eastAsia="cs-CZ"/>
              </w:rPr>
            </w:pPr>
            <w:r>
              <w:rPr>
                <w:b/>
                <w:bCs/>
                <w:color w:val="000000"/>
                <w:sz w:val="20"/>
                <w:szCs w:val="20"/>
                <w:lang w:eastAsia="cs-CZ"/>
              </w:rPr>
              <w:t>239 404</w:t>
            </w:r>
          </w:p>
        </w:tc>
        <w:tc>
          <w:tcPr>
            <w:tcW w:w="843" w:type="dxa"/>
            <w:gridSpan w:val="2"/>
            <w:tcBorders>
              <w:top w:val="single" w:sz="8" w:space="0" w:color="323E4F"/>
              <w:left w:val="nil"/>
              <w:bottom w:val="nil"/>
              <w:right w:val="nil"/>
            </w:tcBorders>
            <w:tcMar>
              <w:top w:w="0" w:type="dxa"/>
              <w:left w:w="70" w:type="dxa"/>
              <w:bottom w:w="0" w:type="dxa"/>
              <w:right w:w="70" w:type="dxa"/>
            </w:tcMar>
            <w:vAlign w:val="center"/>
            <w:hideMark/>
          </w:tcPr>
          <w:p w14:paraId="4E23B1AF" w14:textId="77777777" w:rsidR="00287D3B" w:rsidRDefault="00287D3B" w:rsidP="00E11FE9">
            <w:pPr>
              <w:jc w:val="center"/>
              <w:rPr>
                <w:b/>
                <w:bCs/>
                <w:color w:val="000000"/>
                <w:sz w:val="20"/>
                <w:szCs w:val="20"/>
                <w:lang w:eastAsia="cs-CZ"/>
              </w:rPr>
            </w:pPr>
            <w:r>
              <w:rPr>
                <w:b/>
                <w:bCs/>
                <w:color w:val="000000"/>
                <w:sz w:val="20"/>
                <w:szCs w:val="20"/>
                <w:lang w:eastAsia="cs-CZ"/>
              </w:rPr>
              <w:t>245 502</w:t>
            </w:r>
          </w:p>
        </w:tc>
        <w:tc>
          <w:tcPr>
            <w:tcW w:w="843" w:type="dxa"/>
            <w:gridSpan w:val="2"/>
            <w:tcBorders>
              <w:top w:val="single" w:sz="8" w:space="0" w:color="323E4F"/>
              <w:left w:val="nil"/>
              <w:bottom w:val="nil"/>
              <w:right w:val="nil"/>
            </w:tcBorders>
            <w:tcMar>
              <w:top w:w="0" w:type="dxa"/>
              <w:left w:w="70" w:type="dxa"/>
              <w:bottom w:w="0" w:type="dxa"/>
              <w:right w:w="70" w:type="dxa"/>
            </w:tcMar>
            <w:vAlign w:val="center"/>
            <w:hideMark/>
          </w:tcPr>
          <w:p w14:paraId="4A64589F" w14:textId="77777777" w:rsidR="00287D3B" w:rsidRDefault="00287D3B" w:rsidP="00E11FE9">
            <w:pPr>
              <w:jc w:val="center"/>
              <w:rPr>
                <w:b/>
                <w:bCs/>
                <w:color w:val="000000"/>
                <w:sz w:val="20"/>
                <w:szCs w:val="20"/>
                <w:lang w:eastAsia="cs-CZ"/>
              </w:rPr>
            </w:pPr>
            <w:r>
              <w:rPr>
                <w:b/>
                <w:bCs/>
                <w:color w:val="000000"/>
                <w:sz w:val="20"/>
                <w:szCs w:val="20"/>
                <w:lang w:eastAsia="cs-CZ"/>
              </w:rPr>
              <w:t>252 655</w:t>
            </w:r>
          </w:p>
        </w:tc>
        <w:tc>
          <w:tcPr>
            <w:tcW w:w="843" w:type="dxa"/>
            <w:gridSpan w:val="2"/>
            <w:tcBorders>
              <w:top w:val="single" w:sz="8" w:space="0" w:color="323E4F"/>
              <w:left w:val="nil"/>
              <w:bottom w:val="nil"/>
              <w:right w:val="nil"/>
            </w:tcBorders>
            <w:tcMar>
              <w:top w:w="0" w:type="dxa"/>
              <w:left w:w="70" w:type="dxa"/>
              <w:bottom w:w="0" w:type="dxa"/>
              <w:right w:w="70" w:type="dxa"/>
            </w:tcMar>
            <w:vAlign w:val="center"/>
            <w:hideMark/>
          </w:tcPr>
          <w:p w14:paraId="06A8A1A2" w14:textId="77777777" w:rsidR="00287D3B" w:rsidRDefault="00287D3B" w:rsidP="00E11FE9">
            <w:pPr>
              <w:jc w:val="center"/>
              <w:rPr>
                <w:b/>
                <w:bCs/>
                <w:color w:val="000000"/>
                <w:sz w:val="20"/>
                <w:szCs w:val="20"/>
                <w:lang w:eastAsia="cs-CZ"/>
              </w:rPr>
            </w:pPr>
            <w:r>
              <w:rPr>
                <w:b/>
                <w:bCs/>
                <w:color w:val="000000"/>
                <w:sz w:val="20"/>
                <w:szCs w:val="20"/>
                <w:lang w:eastAsia="cs-CZ"/>
              </w:rPr>
              <w:t>256 736</w:t>
            </w:r>
          </w:p>
        </w:tc>
        <w:tc>
          <w:tcPr>
            <w:tcW w:w="843" w:type="dxa"/>
            <w:tcBorders>
              <w:top w:val="single" w:sz="8" w:space="0" w:color="323E4F"/>
              <w:left w:val="nil"/>
              <w:bottom w:val="nil"/>
              <w:right w:val="nil"/>
            </w:tcBorders>
            <w:tcMar>
              <w:top w:w="0" w:type="dxa"/>
              <w:left w:w="70" w:type="dxa"/>
              <w:bottom w:w="0" w:type="dxa"/>
              <w:right w:w="70" w:type="dxa"/>
            </w:tcMar>
            <w:vAlign w:val="center"/>
            <w:hideMark/>
          </w:tcPr>
          <w:p w14:paraId="0E4D7D7A" w14:textId="77777777" w:rsidR="00287D3B" w:rsidRDefault="00287D3B" w:rsidP="00E11FE9">
            <w:pPr>
              <w:jc w:val="center"/>
              <w:rPr>
                <w:b/>
                <w:bCs/>
                <w:color w:val="000000"/>
                <w:sz w:val="20"/>
                <w:szCs w:val="20"/>
                <w:lang w:eastAsia="cs-CZ"/>
              </w:rPr>
            </w:pPr>
            <w:r>
              <w:rPr>
                <w:b/>
                <w:bCs/>
                <w:color w:val="000000"/>
                <w:sz w:val="20"/>
                <w:szCs w:val="20"/>
                <w:lang w:eastAsia="cs-CZ"/>
              </w:rPr>
              <w:t>262 745</w:t>
            </w:r>
          </w:p>
        </w:tc>
        <w:tc>
          <w:tcPr>
            <w:tcW w:w="843" w:type="dxa"/>
            <w:tcBorders>
              <w:top w:val="single" w:sz="8" w:space="0" w:color="323E4F"/>
              <w:left w:val="nil"/>
              <w:bottom w:val="nil"/>
              <w:right w:val="nil"/>
            </w:tcBorders>
            <w:tcMar>
              <w:top w:w="0" w:type="dxa"/>
              <w:left w:w="70" w:type="dxa"/>
              <w:bottom w:w="0" w:type="dxa"/>
              <w:right w:w="70" w:type="dxa"/>
            </w:tcMar>
            <w:vAlign w:val="center"/>
            <w:hideMark/>
          </w:tcPr>
          <w:p w14:paraId="4DD35895" w14:textId="77777777" w:rsidR="00287D3B" w:rsidRDefault="00287D3B" w:rsidP="00E11FE9">
            <w:pPr>
              <w:jc w:val="center"/>
              <w:rPr>
                <w:b/>
                <w:bCs/>
                <w:color w:val="000000"/>
                <w:sz w:val="20"/>
                <w:szCs w:val="20"/>
                <w:lang w:eastAsia="cs-CZ"/>
              </w:rPr>
            </w:pPr>
            <w:r>
              <w:rPr>
                <w:b/>
                <w:bCs/>
                <w:color w:val="000000"/>
                <w:sz w:val="20"/>
                <w:szCs w:val="20"/>
                <w:lang w:eastAsia="cs-CZ"/>
              </w:rPr>
              <w:t>261 672</w:t>
            </w:r>
          </w:p>
        </w:tc>
        <w:tc>
          <w:tcPr>
            <w:tcW w:w="843" w:type="dxa"/>
            <w:tcBorders>
              <w:top w:val="single" w:sz="8" w:space="0" w:color="323E4F"/>
              <w:left w:val="nil"/>
              <w:bottom w:val="nil"/>
              <w:right w:val="nil"/>
            </w:tcBorders>
            <w:tcMar>
              <w:top w:w="0" w:type="dxa"/>
              <w:left w:w="70" w:type="dxa"/>
              <w:bottom w:w="0" w:type="dxa"/>
              <w:right w:w="70" w:type="dxa"/>
            </w:tcMar>
            <w:vAlign w:val="center"/>
            <w:hideMark/>
          </w:tcPr>
          <w:p w14:paraId="3FFA2CDD" w14:textId="77777777" w:rsidR="00287D3B" w:rsidRDefault="00287D3B" w:rsidP="00E11FE9">
            <w:pPr>
              <w:jc w:val="center"/>
              <w:rPr>
                <w:b/>
                <w:bCs/>
                <w:color w:val="000000"/>
                <w:sz w:val="20"/>
                <w:szCs w:val="20"/>
                <w:lang w:eastAsia="cs-CZ"/>
              </w:rPr>
            </w:pPr>
            <w:r>
              <w:rPr>
                <w:b/>
                <w:bCs/>
                <w:color w:val="000000"/>
                <w:sz w:val="20"/>
                <w:szCs w:val="20"/>
                <w:lang w:eastAsia="cs-CZ"/>
              </w:rPr>
              <w:t>257 690</w:t>
            </w:r>
          </w:p>
        </w:tc>
        <w:tc>
          <w:tcPr>
            <w:tcW w:w="843" w:type="dxa"/>
            <w:tcBorders>
              <w:top w:val="single" w:sz="8" w:space="0" w:color="323E4F"/>
              <w:left w:val="nil"/>
              <w:bottom w:val="nil"/>
              <w:right w:val="nil"/>
            </w:tcBorders>
            <w:tcMar>
              <w:top w:w="0" w:type="dxa"/>
              <w:left w:w="70" w:type="dxa"/>
              <w:bottom w:w="0" w:type="dxa"/>
              <w:right w:w="70" w:type="dxa"/>
            </w:tcMar>
            <w:vAlign w:val="center"/>
            <w:hideMark/>
          </w:tcPr>
          <w:p w14:paraId="7B97E0DD" w14:textId="77777777" w:rsidR="00287D3B" w:rsidRDefault="00287D3B" w:rsidP="00E11FE9">
            <w:pPr>
              <w:jc w:val="center"/>
              <w:rPr>
                <w:b/>
                <w:bCs/>
                <w:color w:val="000000"/>
                <w:sz w:val="20"/>
                <w:szCs w:val="20"/>
                <w:lang w:eastAsia="cs-CZ"/>
              </w:rPr>
            </w:pPr>
            <w:r>
              <w:rPr>
                <w:b/>
                <w:bCs/>
                <w:color w:val="000000"/>
                <w:sz w:val="20"/>
                <w:szCs w:val="20"/>
                <w:lang w:eastAsia="cs-CZ"/>
              </w:rPr>
              <w:t>258 753</w:t>
            </w:r>
          </w:p>
        </w:tc>
      </w:tr>
    </w:tbl>
    <w:p w14:paraId="6A6CAB5A" w14:textId="77777777" w:rsidR="00AE4646" w:rsidRDefault="00AE4646" w:rsidP="00C74307">
      <w:pPr>
        <w:spacing w:line="360" w:lineRule="auto"/>
        <w:jc w:val="both"/>
        <w:rPr>
          <w:rFonts w:ascii="Arial" w:hAnsi="Arial" w:cs="Arial"/>
          <w:sz w:val="24"/>
          <w:szCs w:val="28"/>
        </w:rPr>
      </w:pPr>
    </w:p>
    <w:p w14:paraId="0B8A023D" w14:textId="48FCACCC" w:rsidR="00C74307" w:rsidRDefault="00C74307" w:rsidP="00C74307">
      <w:pPr>
        <w:spacing w:after="120" w:line="240" w:lineRule="auto"/>
        <w:jc w:val="both"/>
        <w:rPr>
          <w:rFonts w:cs="Times New Roman"/>
          <w:i/>
          <w:sz w:val="18"/>
        </w:rPr>
      </w:pPr>
      <w:r w:rsidRPr="0060793E">
        <w:rPr>
          <w:rFonts w:cs="Times New Roman"/>
          <w:i/>
          <w:sz w:val="18"/>
        </w:rPr>
        <w:t xml:space="preserve">Zdroj: </w:t>
      </w:r>
      <w:r>
        <w:rPr>
          <w:rFonts w:cs="Times New Roman"/>
          <w:i/>
          <w:sz w:val="18"/>
        </w:rPr>
        <w:t>MPSV</w:t>
      </w:r>
    </w:p>
    <w:p w14:paraId="207DE747" w14:textId="77777777" w:rsidR="00AE4646" w:rsidRDefault="00AE4646" w:rsidP="00C74307">
      <w:pPr>
        <w:spacing w:after="120" w:line="240" w:lineRule="auto"/>
        <w:jc w:val="both"/>
        <w:rPr>
          <w:rFonts w:cs="Times New Roman"/>
          <w:i/>
          <w:sz w:val="18"/>
        </w:rPr>
      </w:pPr>
    </w:p>
    <w:p w14:paraId="1386E2C2" w14:textId="77777777" w:rsidR="005D4996" w:rsidRPr="0060793E" w:rsidRDefault="005D4996" w:rsidP="005D4996">
      <w:pPr>
        <w:pStyle w:val="Nadpis2"/>
        <w:spacing w:after="120"/>
        <w:jc w:val="both"/>
      </w:pPr>
      <w:bookmarkStart w:id="21" w:name="_Toc102641995"/>
      <w:bookmarkStart w:id="22" w:name="_Toc137819484"/>
      <w:r w:rsidRPr="002D3BCE">
        <w:t>F Zaměstnanost a celoživotní učení</w:t>
      </w:r>
      <w:bookmarkEnd w:id="21"/>
      <w:bookmarkEnd w:id="22"/>
    </w:p>
    <w:p w14:paraId="2A2F2922" w14:textId="0705E668" w:rsidR="00133091" w:rsidRDefault="00133091" w:rsidP="005D4996">
      <w:pPr>
        <w:spacing w:after="120" w:line="360" w:lineRule="auto"/>
        <w:jc w:val="both"/>
        <w:rPr>
          <w:rFonts w:ascii="Arial" w:hAnsi="Arial" w:cs="Arial"/>
          <w:sz w:val="24"/>
          <w:lang w:eastAsia="cs-CZ"/>
        </w:rPr>
      </w:pPr>
      <w:r w:rsidRPr="00133091">
        <w:rPr>
          <w:rFonts w:ascii="Arial" w:hAnsi="Arial" w:cs="Arial"/>
          <w:sz w:val="24"/>
          <w:lang w:eastAsia="cs-CZ"/>
        </w:rPr>
        <w:t>V roce 2021 pracovalo celkem 463,5 tis</w:t>
      </w:r>
      <w:r>
        <w:rPr>
          <w:rFonts w:ascii="Arial" w:hAnsi="Arial" w:cs="Arial"/>
          <w:sz w:val="24"/>
          <w:lang w:eastAsia="cs-CZ"/>
        </w:rPr>
        <w:t xml:space="preserve">. </w:t>
      </w:r>
      <w:r w:rsidRPr="00133091">
        <w:rPr>
          <w:rFonts w:ascii="Arial" w:hAnsi="Arial" w:cs="Arial"/>
          <w:sz w:val="24"/>
          <w:lang w:eastAsia="cs-CZ"/>
        </w:rPr>
        <w:t>seniorů ve věku</w:t>
      </w:r>
      <w:r>
        <w:rPr>
          <w:rFonts w:ascii="Arial" w:hAnsi="Arial" w:cs="Arial"/>
          <w:sz w:val="24"/>
          <w:lang w:eastAsia="cs-CZ"/>
        </w:rPr>
        <w:t xml:space="preserve"> 60+</w:t>
      </w:r>
      <w:r w:rsidRPr="00133091">
        <w:rPr>
          <w:rFonts w:ascii="Arial" w:hAnsi="Arial" w:cs="Arial"/>
          <w:sz w:val="24"/>
          <w:lang w:eastAsia="cs-CZ"/>
        </w:rPr>
        <w:t>, z toho 147,2 tis</w:t>
      </w:r>
      <w:r>
        <w:rPr>
          <w:rFonts w:ascii="Arial" w:hAnsi="Arial" w:cs="Arial"/>
          <w:sz w:val="24"/>
          <w:lang w:eastAsia="cs-CZ"/>
        </w:rPr>
        <w:t>. ve věku 65+</w:t>
      </w:r>
      <w:r w:rsidRPr="00133091">
        <w:rPr>
          <w:rFonts w:ascii="Arial" w:hAnsi="Arial" w:cs="Arial"/>
          <w:sz w:val="24"/>
          <w:lang w:eastAsia="cs-CZ"/>
        </w:rPr>
        <w:t>. Mezi lety 2010 až 2021 vzrostl počet pracujících seniorů ve věku 60 a více let o</w:t>
      </w:r>
      <w:r>
        <w:rPr>
          <w:rFonts w:ascii="Arial" w:hAnsi="Arial" w:cs="Arial"/>
          <w:sz w:val="24"/>
          <w:lang w:eastAsia="cs-CZ"/>
        </w:rPr>
        <w:t> </w:t>
      </w:r>
      <w:r w:rsidRPr="00133091">
        <w:rPr>
          <w:rFonts w:ascii="Arial" w:hAnsi="Arial" w:cs="Arial"/>
          <w:sz w:val="24"/>
          <w:lang w:eastAsia="cs-CZ"/>
        </w:rPr>
        <w:t>203,1 tis</w:t>
      </w:r>
      <w:r>
        <w:rPr>
          <w:rFonts w:ascii="Arial" w:hAnsi="Arial" w:cs="Arial"/>
          <w:sz w:val="24"/>
          <w:lang w:eastAsia="cs-CZ"/>
        </w:rPr>
        <w:t>. (</w:t>
      </w:r>
      <w:r w:rsidRPr="00133091">
        <w:rPr>
          <w:rFonts w:ascii="Arial" w:hAnsi="Arial" w:cs="Arial"/>
          <w:sz w:val="24"/>
          <w:lang w:eastAsia="cs-CZ"/>
        </w:rPr>
        <w:t>t</w:t>
      </w:r>
      <w:r>
        <w:rPr>
          <w:rFonts w:ascii="Arial" w:hAnsi="Arial" w:cs="Arial"/>
          <w:sz w:val="24"/>
          <w:lang w:eastAsia="cs-CZ"/>
        </w:rPr>
        <w:t xml:space="preserve">j. </w:t>
      </w:r>
      <w:r w:rsidRPr="00133091">
        <w:rPr>
          <w:rFonts w:ascii="Arial" w:hAnsi="Arial" w:cs="Arial"/>
          <w:sz w:val="24"/>
          <w:lang w:eastAsia="cs-CZ"/>
        </w:rPr>
        <w:t>o 78</w:t>
      </w:r>
      <w:r>
        <w:rPr>
          <w:rFonts w:ascii="Arial" w:hAnsi="Arial" w:cs="Arial"/>
          <w:sz w:val="24"/>
          <w:lang w:eastAsia="cs-CZ"/>
        </w:rPr>
        <w:t xml:space="preserve"> %)</w:t>
      </w:r>
      <w:r w:rsidRPr="00133091">
        <w:rPr>
          <w:rFonts w:ascii="Arial" w:hAnsi="Arial" w:cs="Arial"/>
          <w:sz w:val="24"/>
          <w:lang w:eastAsia="cs-CZ"/>
        </w:rPr>
        <w:t xml:space="preserve">. Tento </w:t>
      </w:r>
      <w:r>
        <w:rPr>
          <w:rFonts w:ascii="Arial" w:hAnsi="Arial" w:cs="Arial"/>
          <w:sz w:val="24"/>
          <w:lang w:eastAsia="cs-CZ"/>
        </w:rPr>
        <w:t>ná</w:t>
      </w:r>
      <w:r w:rsidRPr="00133091">
        <w:rPr>
          <w:rFonts w:ascii="Arial" w:hAnsi="Arial" w:cs="Arial"/>
          <w:sz w:val="24"/>
          <w:lang w:eastAsia="cs-CZ"/>
        </w:rPr>
        <w:t>růst se projev</w:t>
      </w:r>
      <w:r>
        <w:rPr>
          <w:rFonts w:ascii="Arial" w:hAnsi="Arial" w:cs="Arial"/>
          <w:sz w:val="24"/>
          <w:lang w:eastAsia="cs-CZ"/>
        </w:rPr>
        <w:t>il</w:t>
      </w:r>
      <w:r w:rsidRPr="00133091">
        <w:rPr>
          <w:rFonts w:ascii="Arial" w:hAnsi="Arial" w:cs="Arial"/>
          <w:sz w:val="24"/>
          <w:lang w:eastAsia="cs-CZ"/>
        </w:rPr>
        <w:t xml:space="preserve"> jak u mladších seniorů </w:t>
      </w:r>
      <w:r>
        <w:rPr>
          <w:rFonts w:ascii="Arial" w:hAnsi="Arial" w:cs="Arial"/>
          <w:sz w:val="24"/>
          <w:lang w:eastAsia="cs-CZ"/>
        </w:rPr>
        <w:t>ve věku</w:t>
      </w:r>
      <w:r w:rsidRPr="00133091">
        <w:rPr>
          <w:rFonts w:ascii="Arial" w:hAnsi="Arial" w:cs="Arial"/>
          <w:sz w:val="24"/>
          <w:lang w:eastAsia="cs-CZ"/>
        </w:rPr>
        <w:t xml:space="preserve"> 60 </w:t>
      </w:r>
      <w:r>
        <w:rPr>
          <w:rFonts w:ascii="Arial" w:hAnsi="Arial" w:cs="Arial"/>
          <w:sz w:val="24"/>
          <w:lang w:eastAsia="cs-CZ"/>
        </w:rPr>
        <w:t>až</w:t>
      </w:r>
      <w:r w:rsidRPr="00133091">
        <w:rPr>
          <w:rFonts w:ascii="Arial" w:hAnsi="Arial" w:cs="Arial"/>
          <w:sz w:val="24"/>
          <w:lang w:eastAsia="cs-CZ"/>
        </w:rPr>
        <w:t xml:space="preserve"> 64 let, tak </w:t>
      </w:r>
      <w:r>
        <w:rPr>
          <w:rFonts w:ascii="Arial" w:hAnsi="Arial" w:cs="Arial"/>
          <w:sz w:val="24"/>
          <w:lang w:eastAsia="cs-CZ"/>
        </w:rPr>
        <w:t>u seniorů</w:t>
      </w:r>
      <w:r w:rsidRPr="00133091">
        <w:rPr>
          <w:rFonts w:ascii="Arial" w:hAnsi="Arial" w:cs="Arial"/>
          <w:sz w:val="24"/>
          <w:lang w:eastAsia="cs-CZ"/>
        </w:rPr>
        <w:t xml:space="preserve"> 65</w:t>
      </w:r>
      <w:r>
        <w:rPr>
          <w:rFonts w:ascii="Arial" w:hAnsi="Arial" w:cs="Arial"/>
          <w:sz w:val="24"/>
          <w:lang w:eastAsia="cs-CZ"/>
        </w:rPr>
        <w:t>+</w:t>
      </w:r>
      <w:r w:rsidRPr="00133091">
        <w:rPr>
          <w:rFonts w:ascii="Arial" w:hAnsi="Arial" w:cs="Arial"/>
          <w:sz w:val="24"/>
          <w:lang w:eastAsia="cs-CZ"/>
        </w:rPr>
        <w:t>. Mezi pracujícími seniory převažovali muži</w:t>
      </w:r>
      <w:r>
        <w:rPr>
          <w:rFonts w:ascii="Arial" w:hAnsi="Arial" w:cs="Arial"/>
          <w:sz w:val="24"/>
          <w:lang w:eastAsia="cs-CZ"/>
        </w:rPr>
        <w:t xml:space="preserve"> (cca 60 %, oproti 40 % žen).</w:t>
      </w:r>
      <w:r w:rsidR="00A76E8F">
        <w:rPr>
          <w:rStyle w:val="Odkaznavysvtlivky"/>
          <w:rFonts w:ascii="Arial" w:hAnsi="Arial"/>
          <w:sz w:val="24"/>
          <w:lang w:eastAsia="cs-CZ"/>
        </w:rPr>
        <w:endnoteReference w:id="54"/>
      </w:r>
    </w:p>
    <w:p w14:paraId="313C4072" w14:textId="05578D80" w:rsidR="00133091" w:rsidRDefault="00133091" w:rsidP="00133091">
      <w:pPr>
        <w:spacing w:after="120" w:line="360" w:lineRule="auto"/>
        <w:jc w:val="both"/>
        <w:rPr>
          <w:rFonts w:ascii="Arial" w:hAnsi="Arial" w:cs="Arial"/>
          <w:sz w:val="24"/>
          <w:lang w:eastAsia="cs-CZ"/>
        </w:rPr>
      </w:pPr>
      <w:r w:rsidRPr="00A76E8F">
        <w:rPr>
          <w:rFonts w:ascii="Arial" w:hAnsi="Arial" w:cs="Arial"/>
          <w:b/>
          <w:bCs/>
          <w:sz w:val="24"/>
          <w:lang w:eastAsia="cs-CZ"/>
        </w:rPr>
        <w:t>S rostoucí úrovní dosaženého vzdělání výrazně roste pracovní aktivita seniorů</w:t>
      </w:r>
      <w:r>
        <w:rPr>
          <w:rFonts w:ascii="Arial" w:hAnsi="Arial" w:cs="Arial"/>
          <w:sz w:val="24"/>
          <w:lang w:eastAsia="cs-CZ"/>
        </w:rPr>
        <w:t xml:space="preserve">, což </w:t>
      </w:r>
      <w:r w:rsidR="00A76E8F">
        <w:rPr>
          <w:rFonts w:ascii="Arial" w:hAnsi="Arial" w:cs="Arial"/>
          <w:sz w:val="24"/>
          <w:lang w:eastAsia="cs-CZ"/>
        </w:rPr>
        <w:t xml:space="preserve">ilustrují </w:t>
      </w:r>
      <w:r>
        <w:rPr>
          <w:rFonts w:ascii="Arial" w:hAnsi="Arial" w:cs="Arial"/>
          <w:sz w:val="24"/>
          <w:lang w:eastAsia="cs-CZ"/>
        </w:rPr>
        <w:t>následující data</w:t>
      </w:r>
      <w:r w:rsidRPr="00133091">
        <w:rPr>
          <w:rFonts w:ascii="Arial" w:hAnsi="Arial" w:cs="Arial"/>
          <w:sz w:val="24"/>
          <w:lang w:eastAsia="cs-CZ"/>
        </w:rPr>
        <w:t xml:space="preserve">. </w:t>
      </w:r>
      <w:r>
        <w:rPr>
          <w:rFonts w:ascii="Arial" w:hAnsi="Arial" w:cs="Arial"/>
          <w:sz w:val="24"/>
          <w:lang w:eastAsia="cs-CZ"/>
        </w:rPr>
        <w:t>Pouze 4 %</w:t>
      </w:r>
      <w:r w:rsidRPr="00133091">
        <w:rPr>
          <w:rFonts w:ascii="Arial" w:hAnsi="Arial" w:cs="Arial"/>
          <w:sz w:val="24"/>
          <w:lang w:eastAsia="cs-CZ"/>
        </w:rPr>
        <w:t xml:space="preserve"> všech pracujících seniorů ve věku 65</w:t>
      </w:r>
      <w:r>
        <w:rPr>
          <w:rFonts w:ascii="Arial" w:hAnsi="Arial" w:cs="Arial"/>
          <w:sz w:val="24"/>
          <w:lang w:eastAsia="cs-CZ"/>
        </w:rPr>
        <w:t xml:space="preserve">+ </w:t>
      </w:r>
      <w:r w:rsidRPr="00133091">
        <w:rPr>
          <w:rFonts w:ascii="Arial" w:hAnsi="Arial" w:cs="Arial"/>
          <w:sz w:val="24"/>
          <w:lang w:eastAsia="cs-CZ"/>
        </w:rPr>
        <w:t xml:space="preserve">měla pouze 4% základní vzdělání. </w:t>
      </w:r>
      <w:r w:rsidR="00A76E8F">
        <w:rPr>
          <w:rFonts w:ascii="Arial" w:hAnsi="Arial" w:cs="Arial"/>
          <w:sz w:val="24"/>
          <w:lang w:eastAsia="cs-CZ"/>
        </w:rPr>
        <w:t>S</w:t>
      </w:r>
      <w:r w:rsidRPr="00133091">
        <w:rPr>
          <w:rFonts w:ascii="Arial" w:hAnsi="Arial" w:cs="Arial"/>
          <w:sz w:val="24"/>
          <w:lang w:eastAsia="cs-CZ"/>
        </w:rPr>
        <w:t>třed</w:t>
      </w:r>
      <w:r w:rsidR="00A76E8F">
        <w:rPr>
          <w:rFonts w:ascii="Arial" w:hAnsi="Arial" w:cs="Arial"/>
          <w:sz w:val="24"/>
          <w:lang w:eastAsia="cs-CZ"/>
        </w:rPr>
        <w:t>oškolské</w:t>
      </w:r>
      <w:r w:rsidRPr="00133091">
        <w:rPr>
          <w:rFonts w:ascii="Arial" w:hAnsi="Arial" w:cs="Arial"/>
          <w:sz w:val="24"/>
          <w:lang w:eastAsia="cs-CZ"/>
        </w:rPr>
        <w:t xml:space="preserve"> vzdělání s maturitou vykazovalo 24 % pracujících seniorů, střed</w:t>
      </w:r>
      <w:r w:rsidR="00A76E8F">
        <w:rPr>
          <w:rFonts w:ascii="Arial" w:hAnsi="Arial" w:cs="Arial"/>
          <w:sz w:val="24"/>
          <w:lang w:eastAsia="cs-CZ"/>
        </w:rPr>
        <w:t>oškolské</w:t>
      </w:r>
      <w:r w:rsidRPr="00133091">
        <w:rPr>
          <w:rFonts w:ascii="Arial" w:hAnsi="Arial" w:cs="Arial"/>
          <w:sz w:val="24"/>
          <w:lang w:eastAsia="cs-CZ"/>
        </w:rPr>
        <w:t xml:space="preserve"> vzdělání bez maturity 32 % a </w:t>
      </w:r>
      <w:r w:rsidR="00A76E8F">
        <w:rPr>
          <w:rFonts w:ascii="Arial" w:hAnsi="Arial" w:cs="Arial"/>
          <w:sz w:val="24"/>
          <w:lang w:eastAsia="cs-CZ"/>
        </w:rPr>
        <w:t>VŠ vzdělání</w:t>
      </w:r>
      <w:r w:rsidRPr="00133091">
        <w:rPr>
          <w:rFonts w:ascii="Arial" w:hAnsi="Arial" w:cs="Arial"/>
          <w:sz w:val="24"/>
          <w:lang w:eastAsia="cs-CZ"/>
        </w:rPr>
        <w:t xml:space="preserve"> mělo dokonce 39 % pracujících seniorů </w:t>
      </w:r>
      <w:r w:rsidR="00A76E8F">
        <w:rPr>
          <w:rFonts w:ascii="Arial" w:hAnsi="Arial" w:cs="Arial"/>
          <w:sz w:val="24"/>
          <w:lang w:eastAsia="cs-CZ"/>
        </w:rPr>
        <w:t>starších</w:t>
      </w:r>
      <w:r w:rsidRPr="00133091">
        <w:rPr>
          <w:rFonts w:ascii="Arial" w:hAnsi="Arial" w:cs="Arial"/>
          <w:sz w:val="24"/>
          <w:lang w:eastAsia="cs-CZ"/>
        </w:rPr>
        <w:t xml:space="preserve"> 65 let</w:t>
      </w:r>
      <w:r>
        <w:rPr>
          <w:rFonts w:ascii="Arial" w:hAnsi="Arial" w:cs="Arial"/>
          <w:sz w:val="24"/>
          <w:lang w:eastAsia="cs-CZ"/>
        </w:rPr>
        <w:t xml:space="preserve"> (data za 2021)</w:t>
      </w:r>
      <w:r w:rsidR="00A76E8F">
        <w:rPr>
          <w:rFonts w:ascii="Arial" w:hAnsi="Arial" w:cs="Arial"/>
          <w:sz w:val="24"/>
          <w:lang w:eastAsia="cs-CZ"/>
        </w:rPr>
        <w:t>.</w:t>
      </w:r>
    </w:p>
    <w:p w14:paraId="0D3C3F4A" w14:textId="5F086F51" w:rsidR="00FC6A3E" w:rsidRPr="00467652" w:rsidRDefault="00FC6A3E" w:rsidP="00FC6A3E">
      <w:pPr>
        <w:spacing w:after="120" w:line="360" w:lineRule="auto"/>
        <w:jc w:val="both"/>
        <w:rPr>
          <w:rFonts w:ascii="Arial" w:hAnsi="Arial" w:cs="Arial"/>
          <w:color w:val="FF0000"/>
          <w:sz w:val="24"/>
          <w:lang w:eastAsia="cs-CZ"/>
        </w:rPr>
      </w:pPr>
      <w:bookmarkStart w:id="23" w:name="_Toc102641996"/>
      <w:r w:rsidRPr="00A23FA7">
        <w:rPr>
          <w:rFonts w:ascii="Arial" w:hAnsi="Arial" w:cs="Arial"/>
          <w:b/>
          <w:sz w:val="24"/>
        </w:rPr>
        <w:t>Délka vzdělávání se prodlužuje</w:t>
      </w:r>
      <w:r w:rsidRPr="00A60842">
        <w:rPr>
          <w:rFonts w:ascii="Arial" w:hAnsi="Arial" w:cs="Arial"/>
          <w:bCs/>
          <w:sz w:val="24"/>
        </w:rPr>
        <w:t xml:space="preserve">, ale současně v důsledku inovací, technologických změn a rostoucí globální konkurence </w:t>
      </w:r>
      <w:r w:rsidRPr="00A23FA7">
        <w:rPr>
          <w:rFonts w:ascii="Arial" w:hAnsi="Arial" w:cs="Arial"/>
          <w:b/>
          <w:sz w:val="24"/>
        </w:rPr>
        <w:t>získané vědomosti rychleji zastarávají.</w:t>
      </w:r>
      <w:r w:rsidRPr="00A23FA7">
        <w:rPr>
          <w:rFonts w:ascii="Arial" w:hAnsi="Arial" w:cs="Arial"/>
          <w:sz w:val="24"/>
        </w:rPr>
        <w:t xml:space="preserve"> </w:t>
      </w:r>
      <w:r>
        <w:rPr>
          <w:rFonts w:ascii="Arial" w:hAnsi="Arial" w:cs="Arial"/>
          <w:sz w:val="24"/>
        </w:rPr>
        <w:t xml:space="preserve">Při zvažování vzdělávání a celoživotního učení je třeba </w:t>
      </w:r>
      <w:r w:rsidRPr="00EF6F2B">
        <w:rPr>
          <w:rFonts w:ascii="Arial" w:hAnsi="Arial" w:cs="Arial"/>
          <w:sz w:val="24"/>
        </w:rPr>
        <w:t xml:space="preserve">klást důraz na odbourávání </w:t>
      </w:r>
      <w:r w:rsidRPr="00EF6F2B">
        <w:rPr>
          <w:rFonts w:ascii="Arial" w:hAnsi="Arial" w:cs="Arial"/>
          <w:sz w:val="24"/>
        </w:rPr>
        <w:lastRenderedPageBreak/>
        <w:t xml:space="preserve">genderových stereotypů a </w:t>
      </w:r>
      <w:r>
        <w:rPr>
          <w:rFonts w:ascii="Arial" w:hAnsi="Arial" w:cs="Arial"/>
          <w:sz w:val="24"/>
        </w:rPr>
        <w:t xml:space="preserve">na </w:t>
      </w:r>
      <w:r w:rsidRPr="00EF6F2B">
        <w:rPr>
          <w:rFonts w:ascii="Arial" w:hAnsi="Arial" w:cs="Arial"/>
          <w:sz w:val="24"/>
        </w:rPr>
        <w:t>rozvoj talentu v závislosti</w:t>
      </w:r>
      <w:r>
        <w:rPr>
          <w:rFonts w:ascii="Arial" w:hAnsi="Arial" w:cs="Arial"/>
          <w:sz w:val="24"/>
        </w:rPr>
        <w:t xml:space="preserve"> od</w:t>
      </w:r>
      <w:r w:rsidRPr="00EF6F2B">
        <w:rPr>
          <w:rFonts w:ascii="Arial" w:hAnsi="Arial" w:cs="Arial"/>
          <w:sz w:val="24"/>
        </w:rPr>
        <w:t xml:space="preserve"> individualit</w:t>
      </w:r>
      <w:r>
        <w:rPr>
          <w:rFonts w:ascii="Arial" w:hAnsi="Arial" w:cs="Arial"/>
          <w:sz w:val="24"/>
        </w:rPr>
        <w:t>y</w:t>
      </w:r>
      <w:r w:rsidRPr="00EF6F2B">
        <w:rPr>
          <w:rFonts w:ascii="Arial" w:hAnsi="Arial" w:cs="Arial"/>
          <w:sz w:val="24"/>
        </w:rPr>
        <w:t xml:space="preserve">. </w:t>
      </w:r>
      <w:r w:rsidRPr="00A60842">
        <w:rPr>
          <w:rFonts w:ascii="Arial" w:hAnsi="Arial" w:cs="Arial"/>
          <w:sz w:val="24"/>
        </w:rPr>
        <w:t>V současné době probíhá vzdělávání seniorů v ČR</w:t>
      </w:r>
      <w:r>
        <w:rPr>
          <w:rFonts w:ascii="Arial" w:hAnsi="Arial" w:cs="Arial"/>
          <w:sz w:val="24"/>
        </w:rPr>
        <w:t xml:space="preserve"> několika způsoby. </w:t>
      </w:r>
      <w:r w:rsidRPr="00283151">
        <w:rPr>
          <w:rFonts w:ascii="Arial" w:hAnsi="Arial" w:cs="Arial"/>
          <w:sz w:val="24"/>
          <w:szCs w:val="24"/>
        </w:rPr>
        <w:t>Vysoké školy organizují Univerzity třetího věku.</w:t>
      </w:r>
      <w:r w:rsidRPr="00283151">
        <w:rPr>
          <w:rFonts w:ascii="Arial" w:hAnsi="Arial" w:cs="Arial"/>
          <w:b/>
          <w:bCs/>
          <w:sz w:val="24"/>
          <w:szCs w:val="24"/>
        </w:rPr>
        <w:t xml:space="preserve"> </w:t>
      </w:r>
      <w:r w:rsidRPr="00283151">
        <w:rPr>
          <w:rFonts w:ascii="Arial" w:hAnsi="Arial" w:cs="Arial"/>
          <w:sz w:val="24"/>
          <w:szCs w:val="24"/>
        </w:rPr>
        <w:t>Zde se mohou senioři systematicky a na akademické úrovni seznamovat s poznatky z nejrůznějších vědních oborů. Nabízené kurzy zde vycházejí z akreditovaných studijních programů jednotlivých vysokých škol a jejich kvalita je garantována Asociací univerzit třetího věku ČR. Formy výuky na Univerzitě třetího věku jsou různé, od klasických prezenčních přednášek, přes workshopy až po on-line výuku, díky níž je možno toto vzdělávání přenést i do oblastí vzdálených od univerzitních center. Účastníci tohoto vzdělávání mají statut „posluchače vysoké školy“, nejsou však studenty ve smyslu zákona č.111/1998 Sb. o vysokých školách.</w:t>
      </w:r>
      <w:r>
        <w:rPr>
          <w:rFonts w:ascii="Arial" w:hAnsi="Arial" w:cs="Arial"/>
          <w:sz w:val="24"/>
        </w:rPr>
        <w:t xml:space="preserve"> </w:t>
      </w:r>
      <w:r w:rsidRPr="00283151">
        <w:rPr>
          <w:rFonts w:ascii="Arial" w:hAnsi="Arial" w:cs="Arial"/>
          <w:sz w:val="24"/>
          <w:szCs w:val="24"/>
        </w:rPr>
        <w:t>Jiným způsobem seniorského vzdělávání v České republice jsou aktivity různých kulturních a správních organizací (např. knihoven, informačních center, obecních úřadů) či vzdělávacích agentur. Tyto instituce poskytují seniorům vzdělávání formou řady zájmových a animačních kurzů organizovaných v rámci tzv. Akademií třetího věku, Univerzit volného času, Klubů seniorů aj.</w:t>
      </w:r>
      <w:r w:rsidRPr="00283151">
        <w:rPr>
          <w:rStyle w:val="Odkaznavysvtlivky"/>
          <w:rFonts w:ascii="Arial" w:hAnsi="Arial"/>
          <w:sz w:val="24"/>
        </w:rPr>
        <w:t xml:space="preserve"> </w:t>
      </w:r>
      <w:r w:rsidRPr="00283151">
        <w:rPr>
          <w:rFonts w:ascii="Arial" w:hAnsi="Arial" w:cs="Arial"/>
          <w:sz w:val="24"/>
          <w:szCs w:val="24"/>
        </w:rPr>
        <w:t>Cíle všech subjektů organizující seniorské vzdělávání jsou však obdobné</w:t>
      </w:r>
      <w:r>
        <w:rPr>
          <w:rFonts w:ascii="Arial" w:hAnsi="Arial" w:cs="Arial"/>
          <w:sz w:val="24"/>
          <w:szCs w:val="24"/>
        </w:rPr>
        <w:t xml:space="preserve"> </w:t>
      </w:r>
      <w:r w:rsidRPr="00283151">
        <w:rPr>
          <w:rFonts w:ascii="Arial" w:hAnsi="Arial" w:cs="Arial"/>
          <w:sz w:val="24"/>
          <w:szCs w:val="24"/>
        </w:rPr>
        <w:t>– zvýšení důstojnosti a kvality života seniorů, udržení psychické a sociální aktivity, socializace, seberealizace a autonomie ve vyšším věku.</w:t>
      </w:r>
      <w:r>
        <w:rPr>
          <w:rStyle w:val="Odkaznavysvtlivky"/>
          <w:rFonts w:ascii="Arial" w:hAnsi="Arial"/>
          <w:sz w:val="24"/>
        </w:rPr>
        <w:endnoteReference w:id="55"/>
      </w:r>
      <w:r w:rsidRPr="00283151">
        <w:rPr>
          <w:rStyle w:val="Odkaznavysvtlivky"/>
          <w:rFonts w:ascii="Arial" w:hAnsi="Arial"/>
          <w:sz w:val="24"/>
        </w:rPr>
        <w:t xml:space="preserve"> </w:t>
      </w:r>
      <w:r>
        <w:rPr>
          <w:rFonts w:ascii="Arial" w:hAnsi="Arial" w:cs="Arial"/>
          <w:sz w:val="24"/>
        </w:rPr>
        <w:t xml:space="preserve"> </w:t>
      </w:r>
    </w:p>
    <w:p w14:paraId="33B3CCF2" w14:textId="77777777" w:rsidR="005D4996" w:rsidRPr="0060793E" w:rsidRDefault="005D4996" w:rsidP="005D4996">
      <w:pPr>
        <w:pStyle w:val="Nadpis2"/>
        <w:spacing w:after="120"/>
      </w:pPr>
      <w:bookmarkStart w:id="24" w:name="_Toc137819485"/>
      <w:r w:rsidRPr="0068169E">
        <w:t>G Prevence sociální izolace, podpora mezigeneračních vztahů a bezbariérovost</w:t>
      </w:r>
      <w:bookmarkEnd w:id="23"/>
      <w:bookmarkEnd w:id="24"/>
    </w:p>
    <w:p w14:paraId="6F8583B9" w14:textId="4A0DDB41" w:rsidR="00FF7525" w:rsidRDefault="00FC6A3E" w:rsidP="00D53737">
      <w:pPr>
        <w:autoSpaceDE w:val="0"/>
        <w:autoSpaceDN w:val="0"/>
        <w:adjustRightInd w:val="0"/>
        <w:spacing w:after="0" w:line="360" w:lineRule="auto"/>
        <w:jc w:val="both"/>
        <w:rPr>
          <w:rFonts w:ascii="Arial" w:hAnsi="Arial" w:cs="Arial"/>
          <w:bCs/>
          <w:sz w:val="24"/>
          <w:szCs w:val="24"/>
        </w:rPr>
      </w:pPr>
      <w:r w:rsidRPr="000D6560">
        <w:rPr>
          <w:rFonts w:ascii="Arial" w:hAnsi="Arial" w:cs="Arial"/>
          <w:sz w:val="24"/>
          <w:szCs w:val="24"/>
        </w:rPr>
        <w:t xml:space="preserve">Nejvyšší </w:t>
      </w:r>
      <w:r w:rsidRPr="000D6560">
        <w:rPr>
          <w:rFonts w:ascii="Arial" w:hAnsi="Arial" w:cs="Arial"/>
          <w:b/>
          <w:bCs/>
          <w:sz w:val="24"/>
          <w:szCs w:val="24"/>
        </w:rPr>
        <w:t xml:space="preserve">podíl na celkovém počtu domácností </w:t>
      </w:r>
      <w:r w:rsidRPr="000D6560">
        <w:rPr>
          <w:rFonts w:ascii="Arial" w:hAnsi="Arial" w:cs="Arial"/>
          <w:sz w:val="24"/>
          <w:szCs w:val="24"/>
        </w:rPr>
        <w:t>m</w:t>
      </w:r>
      <w:r>
        <w:rPr>
          <w:rFonts w:ascii="Arial" w:hAnsi="Arial" w:cs="Arial"/>
          <w:sz w:val="24"/>
          <w:szCs w:val="24"/>
        </w:rPr>
        <w:t>ěla</w:t>
      </w:r>
      <w:r w:rsidRPr="000D6560">
        <w:rPr>
          <w:rFonts w:ascii="Arial" w:hAnsi="Arial" w:cs="Arial"/>
          <w:sz w:val="24"/>
          <w:szCs w:val="24"/>
        </w:rPr>
        <w:t xml:space="preserve"> v roce 202</w:t>
      </w:r>
      <w:r>
        <w:rPr>
          <w:rFonts w:ascii="Arial" w:hAnsi="Arial" w:cs="Arial"/>
          <w:sz w:val="24"/>
          <w:szCs w:val="24"/>
        </w:rPr>
        <w:t>2</w:t>
      </w:r>
      <w:r w:rsidRPr="000D6560">
        <w:rPr>
          <w:rFonts w:ascii="Arial" w:hAnsi="Arial" w:cs="Arial"/>
          <w:sz w:val="24"/>
          <w:szCs w:val="24"/>
        </w:rPr>
        <w:t xml:space="preserve"> </w:t>
      </w:r>
      <w:r>
        <w:rPr>
          <w:rFonts w:ascii="Arial" w:hAnsi="Arial" w:cs="Arial"/>
          <w:sz w:val="24"/>
          <w:szCs w:val="24"/>
        </w:rPr>
        <w:t>jednočlenná a</w:t>
      </w:r>
      <w:r w:rsidR="00683992">
        <w:rPr>
          <w:rFonts w:ascii="Arial" w:hAnsi="Arial" w:cs="Arial"/>
          <w:sz w:val="24"/>
          <w:szCs w:val="24"/>
        </w:rPr>
        <w:t> </w:t>
      </w:r>
      <w:r w:rsidRPr="000D6560">
        <w:rPr>
          <w:rFonts w:ascii="Arial" w:hAnsi="Arial" w:cs="Arial"/>
          <w:sz w:val="24"/>
          <w:szCs w:val="24"/>
        </w:rPr>
        <w:t>dvojčlenná rodina (</w:t>
      </w:r>
      <w:r>
        <w:rPr>
          <w:rFonts w:ascii="Arial" w:hAnsi="Arial" w:cs="Arial"/>
          <w:sz w:val="24"/>
          <w:szCs w:val="24"/>
        </w:rPr>
        <w:t>oboje</w:t>
      </w:r>
      <w:r w:rsidRPr="000D6560">
        <w:rPr>
          <w:rFonts w:ascii="Arial" w:hAnsi="Arial" w:cs="Arial"/>
          <w:sz w:val="24"/>
          <w:szCs w:val="24"/>
        </w:rPr>
        <w:t xml:space="preserve"> </w:t>
      </w:r>
      <w:r>
        <w:rPr>
          <w:rFonts w:ascii="Arial" w:hAnsi="Arial" w:cs="Arial"/>
          <w:sz w:val="24"/>
          <w:szCs w:val="24"/>
        </w:rPr>
        <w:t>se zastoupením</w:t>
      </w:r>
      <w:r w:rsidRPr="000D6560">
        <w:rPr>
          <w:rFonts w:ascii="Arial" w:hAnsi="Arial" w:cs="Arial"/>
          <w:sz w:val="24"/>
          <w:szCs w:val="24"/>
        </w:rPr>
        <w:t xml:space="preserve"> 32,</w:t>
      </w:r>
      <w:r>
        <w:rPr>
          <w:rFonts w:ascii="Arial" w:hAnsi="Arial" w:cs="Arial"/>
          <w:sz w:val="24"/>
          <w:szCs w:val="24"/>
        </w:rPr>
        <w:t>1</w:t>
      </w:r>
      <w:r w:rsidRPr="000D6560">
        <w:rPr>
          <w:rFonts w:ascii="Arial" w:hAnsi="Arial" w:cs="Arial"/>
          <w:sz w:val="24"/>
          <w:szCs w:val="24"/>
        </w:rPr>
        <w:t xml:space="preserve"> %), u domácností důchodců jde o</w:t>
      </w:r>
      <w:r w:rsidR="00683992">
        <w:rPr>
          <w:rFonts w:ascii="Arial" w:hAnsi="Arial" w:cs="Arial"/>
          <w:sz w:val="24"/>
          <w:szCs w:val="24"/>
        </w:rPr>
        <w:t> </w:t>
      </w:r>
      <w:r w:rsidRPr="000D6560">
        <w:rPr>
          <w:rFonts w:ascii="Arial" w:hAnsi="Arial" w:cs="Arial"/>
          <w:sz w:val="24"/>
          <w:szCs w:val="24"/>
        </w:rPr>
        <w:t>jednočlenné domácnosti (zvýšení na</w:t>
      </w:r>
      <w:r>
        <w:rPr>
          <w:rFonts w:ascii="Arial" w:hAnsi="Arial" w:cs="Arial"/>
          <w:sz w:val="24"/>
          <w:szCs w:val="24"/>
        </w:rPr>
        <w:t xml:space="preserve"> 52,9 %</w:t>
      </w:r>
      <w:r w:rsidRPr="000D6560">
        <w:rPr>
          <w:rFonts w:ascii="Arial" w:hAnsi="Arial" w:cs="Arial"/>
          <w:sz w:val="24"/>
          <w:szCs w:val="24"/>
        </w:rPr>
        <w:t>).</w:t>
      </w:r>
      <w:r>
        <w:rPr>
          <w:rStyle w:val="Odkaznavysvtlivky"/>
          <w:rFonts w:ascii="Arial" w:hAnsi="Arial"/>
          <w:sz w:val="24"/>
        </w:rPr>
        <w:endnoteReference w:id="56"/>
      </w:r>
      <w:r>
        <w:rPr>
          <w:rFonts w:ascii="Arial" w:hAnsi="Arial" w:cs="Arial"/>
          <w:bCs/>
          <w:sz w:val="24"/>
          <w:szCs w:val="24"/>
        </w:rPr>
        <w:t xml:space="preserve"> </w:t>
      </w:r>
    </w:p>
    <w:p w14:paraId="495B8A98" w14:textId="701B3894" w:rsidR="00FC6A3E" w:rsidRPr="000D6560" w:rsidRDefault="00FC6A3E" w:rsidP="00D53737">
      <w:pPr>
        <w:autoSpaceDE w:val="0"/>
        <w:autoSpaceDN w:val="0"/>
        <w:adjustRightInd w:val="0"/>
        <w:spacing w:after="0" w:line="360" w:lineRule="auto"/>
        <w:jc w:val="both"/>
        <w:rPr>
          <w:rFonts w:ascii="Arial" w:hAnsi="Arial" w:cs="Arial"/>
          <w:sz w:val="24"/>
          <w:szCs w:val="24"/>
        </w:rPr>
      </w:pPr>
      <w:r w:rsidRPr="00A23FA7">
        <w:rPr>
          <w:rFonts w:ascii="Arial" w:hAnsi="Arial" w:cs="Arial"/>
          <w:b/>
          <w:sz w:val="24"/>
          <w:szCs w:val="24"/>
        </w:rPr>
        <w:t xml:space="preserve">Sledování televize </w:t>
      </w:r>
      <w:r w:rsidRPr="00D53737">
        <w:rPr>
          <w:rFonts w:ascii="Arial" w:hAnsi="Arial" w:cs="Arial"/>
          <w:bCs/>
          <w:sz w:val="24"/>
          <w:szCs w:val="24"/>
        </w:rPr>
        <w:t xml:space="preserve">odpovídá přibližně 40 % trávení volného času u seniorů nad 65 let, zatímco </w:t>
      </w:r>
      <w:r w:rsidRPr="00A23FA7">
        <w:rPr>
          <w:rFonts w:ascii="Arial" w:hAnsi="Arial" w:cs="Arial"/>
          <w:b/>
          <w:sz w:val="24"/>
          <w:szCs w:val="24"/>
        </w:rPr>
        <w:t xml:space="preserve">trávení času s rodinou a přáteli </w:t>
      </w:r>
      <w:proofErr w:type="gramStart"/>
      <w:r w:rsidRPr="00D53737">
        <w:rPr>
          <w:rFonts w:ascii="Arial" w:hAnsi="Arial" w:cs="Arial"/>
          <w:bCs/>
          <w:sz w:val="24"/>
          <w:szCs w:val="24"/>
        </w:rPr>
        <w:t>tvoří</w:t>
      </w:r>
      <w:proofErr w:type="gramEnd"/>
      <w:r w:rsidRPr="00D53737">
        <w:rPr>
          <w:rFonts w:ascii="Arial" w:hAnsi="Arial" w:cs="Arial"/>
          <w:bCs/>
          <w:sz w:val="24"/>
          <w:szCs w:val="24"/>
        </w:rPr>
        <w:t xml:space="preserve"> asi 10 % celkového objemu volného času.</w:t>
      </w:r>
      <w:r>
        <w:rPr>
          <w:rStyle w:val="Odkaznavysvtlivky"/>
          <w:rFonts w:ascii="Arial" w:hAnsi="Arial"/>
          <w:sz w:val="24"/>
        </w:rPr>
        <w:endnoteReference w:id="57"/>
      </w:r>
      <w:r w:rsidRPr="00D53737">
        <w:rPr>
          <w:rFonts w:ascii="Arial" w:hAnsi="Arial" w:cs="Arial"/>
          <w:bCs/>
          <w:sz w:val="24"/>
          <w:szCs w:val="24"/>
        </w:rPr>
        <w:t xml:space="preserve"> </w:t>
      </w:r>
      <w:r w:rsidRPr="000D6560">
        <w:rPr>
          <w:rFonts w:ascii="Arial" w:hAnsi="Arial" w:cs="Arial"/>
          <w:b/>
          <w:bCs/>
          <w:sz w:val="24"/>
          <w:szCs w:val="24"/>
        </w:rPr>
        <w:t>Podíl aktivně sportující populace</w:t>
      </w:r>
      <w:r w:rsidRPr="000D6560">
        <w:rPr>
          <w:rFonts w:ascii="Arial" w:hAnsi="Arial" w:cs="Arial"/>
          <w:sz w:val="24"/>
          <w:szCs w:val="24"/>
        </w:rPr>
        <w:t xml:space="preserve"> ve věku 55-64 let vzrostl v roce 2019 na 23 %, ve věku 65-74 </w:t>
      </w:r>
      <w:r>
        <w:rPr>
          <w:rFonts w:ascii="Arial" w:hAnsi="Arial" w:cs="Arial"/>
          <w:sz w:val="24"/>
          <w:szCs w:val="24"/>
        </w:rPr>
        <w:t xml:space="preserve">let </w:t>
      </w:r>
      <w:r w:rsidRPr="000D6560">
        <w:rPr>
          <w:rFonts w:ascii="Arial" w:hAnsi="Arial" w:cs="Arial"/>
          <w:sz w:val="24"/>
          <w:szCs w:val="24"/>
        </w:rPr>
        <w:t xml:space="preserve">na 17 % a ve věku 75+ stagnoval na 6 %. V případě starších osob žijících ve </w:t>
      </w:r>
      <w:r w:rsidRPr="000D6560">
        <w:rPr>
          <w:rFonts w:ascii="Arial" w:hAnsi="Arial" w:cs="Arial"/>
          <w:b/>
          <w:bCs/>
          <w:sz w:val="24"/>
          <w:szCs w:val="24"/>
        </w:rPr>
        <w:t>venkovském prostředí</w:t>
      </w:r>
      <w:r w:rsidRPr="000D6560">
        <w:rPr>
          <w:rFonts w:ascii="Arial" w:hAnsi="Arial" w:cs="Arial"/>
          <w:sz w:val="24"/>
          <w:szCs w:val="24"/>
        </w:rPr>
        <w:t xml:space="preserve"> bývá bariérou snižování dostupnosti služeb. Pro seniory se zhoršeným zdravotním stavem mohou být </w:t>
      </w:r>
      <w:r w:rsidRPr="000D6560">
        <w:rPr>
          <w:rFonts w:ascii="Arial" w:hAnsi="Arial" w:cs="Arial"/>
          <w:b/>
          <w:bCs/>
          <w:sz w:val="24"/>
          <w:szCs w:val="24"/>
        </w:rPr>
        <w:t>aktivity mimo domov</w:t>
      </w:r>
      <w:r w:rsidRPr="000D6560">
        <w:rPr>
          <w:rFonts w:ascii="Arial" w:hAnsi="Arial" w:cs="Arial"/>
          <w:sz w:val="24"/>
          <w:szCs w:val="24"/>
        </w:rPr>
        <w:t xml:space="preserve"> špatně dostupné. Stárnoucí senioři tráví stále více času ve svém bezprostředním</w:t>
      </w:r>
      <w:r>
        <w:rPr>
          <w:rFonts w:ascii="Arial" w:hAnsi="Arial" w:cs="Arial"/>
          <w:sz w:val="24"/>
          <w:szCs w:val="24"/>
        </w:rPr>
        <w:t xml:space="preserve"> okolí</w:t>
      </w:r>
      <w:r w:rsidRPr="000D6560">
        <w:rPr>
          <w:rFonts w:ascii="Arial" w:hAnsi="Arial" w:cs="Arial"/>
          <w:sz w:val="24"/>
          <w:szCs w:val="24"/>
        </w:rPr>
        <w:t>.</w:t>
      </w:r>
      <w:r>
        <w:rPr>
          <w:rStyle w:val="Odkaznavysvtlivky"/>
          <w:rFonts w:ascii="Arial" w:hAnsi="Arial"/>
          <w:sz w:val="24"/>
        </w:rPr>
        <w:endnoteReference w:id="58"/>
      </w:r>
      <w:r w:rsidRPr="000D6560">
        <w:rPr>
          <w:rFonts w:ascii="Arial" w:hAnsi="Arial" w:cs="Arial"/>
          <w:sz w:val="24"/>
          <w:szCs w:val="24"/>
        </w:rPr>
        <w:t xml:space="preserve"> </w:t>
      </w:r>
      <w:r w:rsidRPr="000D6560">
        <w:rPr>
          <w:rFonts w:ascii="Arial" w:hAnsi="Arial" w:cs="Arial"/>
          <w:b/>
          <w:sz w:val="24"/>
          <w:szCs w:val="24"/>
        </w:rPr>
        <w:t xml:space="preserve">Stavební zákon </w:t>
      </w:r>
      <w:r w:rsidRPr="000D6560">
        <w:rPr>
          <w:rFonts w:ascii="Arial" w:hAnsi="Arial" w:cs="Arial"/>
          <w:bCs/>
          <w:sz w:val="24"/>
          <w:szCs w:val="24"/>
        </w:rPr>
        <w:t>definuje bezbariérové</w:t>
      </w:r>
      <w:r w:rsidRPr="000D6560" w:rsidDel="00680AB5">
        <w:rPr>
          <w:rFonts w:ascii="Arial" w:hAnsi="Arial" w:cs="Arial"/>
          <w:bCs/>
          <w:sz w:val="24"/>
          <w:szCs w:val="24"/>
        </w:rPr>
        <w:t xml:space="preserve"> </w:t>
      </w:r>
      <w:r w:rsidRPr="000D6560">
        <w:rPr>
          <w:rFonts w:ascii="Arial" w:hAnsi="Arial" w:cs="Arial"/>
          <w:bCs/>
          <w:sz w:val="24"/>
          <w:szCs w:val="24"/>
        </w:rPr>
        <w:t>užívání stavby jako veřejný zájem.</w:t>
      </w:r>
      <w:r>
        <w:rPr>
          <w:rStyle w:val="Odkaznavysvtlivky"/>
          <w:rFonts w:ascii="Arial" w:hAnsi="Arial"/>
          <w:sz w:val="24"/>
        </w:rPr>
        <w:endnoteReference w:id="59"/>
      </w:r>
      <w:r w:rsidRPr="000D6560">
        <w:rPr>
          <w:rFonts w:ascii="Arial" w:hAnsi="Arial" w:cs="Arial"/>
          <w:bCs/>
          <w:sz w:val="24"/>
          <w:szCs w:val="24"/>
        </w:rPr>
        <w:t xml:space="preserve"> </w:t>
      </w:r>
    </w:p>
    <w:p w14:paraId="4C36BF67" w14:textId="77777777" w:rsidR="005D4996" w:rsidRPr="00D95454" w:rsidRDefault="005D4996" w:rsidP="005D4996">
      <w:pPr>
        <w:pStyle w:val="Nadpis2"/>
        <w:spacing w:after="120"/>
        <w:jc w:val="both"/>
      </w:pPr>
      <w:bookmarkStart w:id="25" w:name="_Toc102641997"/>
      <w:bookmarkStart w:id="26" w:name="_Toc137819486"/>
      <w:r>
        <w:t>H Diskriminace,</w:t>
      </w:r>
      <w:r w:rsidRPr="00D95454">
        <w:t xml:space="preserve"> </w:t>
      </w:r>
      <w:r>
        <w:t>týrání, zneužívání a ochrana</w:t>
      </w:r>
      <w:r w:rsidRPr="00D95454">
        <w:t xml:space="preserve"> spotřebitel</w:t>
      </w:r>
      <w:r>
        <w:t>e</w:t>
      </w:r>
      <w:bookmarkEnd w:id="25"/>
      <w:bookmarkEnd w:id="26"/>
    </w:p>
    <w:p w14:paraId="35476901" w14:textId="01F4379F" w:rsidR="00E53145" w:rsidRPr="00E53145" w:rsidRDefault="00E53145" w:rsidP="00E53145">
      <w:pPr>
        <w:autoSpaceDE w:val="0"/>
        <w:autoSpaceDN w:val="0"/>
        <w:adjustRightInd w:val="0"/>
        <w:spacing w:after="0" w:line="360" w:lineRule="auto"/>
        <w:jc w:val="both"/>
        <w:rPr>
          <w:rFonts w:ascii="Arial" w:hAnsi="Arial" w:cs="Arial"/>
          <w:sz w:val="24"/>
          <w:szCs w:val="24"/>
        </w:rPr>
      </w:pPr>
      <w:r w:rsidRPr="00E53145">
        <w:rPr>
          <w:rFonts w:ascii="Arial" w:hAnsi="Arial" w:cs="Arial"/>
          <w:sz w:val="24"/>
          <w:szCs w:val="24"/>
        </w:rPr>
        <w:t xml:space="preserve">Podle definice EAN přijaté Výborem pro práva starších osob Rady vlády pro lidská práva dne 1.6.2022 je týrání, zneužívání, zanedbávání seniorů a špatné zacházení s </w:t>
      </w:r>
      <w:r w:rsidRPr="00E53145">
        <w:rPr>
          <w:rFonts w:ascii="Arial" w:hAnsi="Arial" w:cs="Arial"/>
          <w:sz w:val="24"/>
          <w:szCs w:val="24"/>
        </w:rPr>
        <w:lastRenderedPageBreak/>
        <w:t xml:space="preserve">nimi (tzv. </w:t>
      </w:r>
      <w:proofErr w:type="spellStart"/>
      <w:r w:rsidRPr="00E53145">
        <w:rPr>
          <w:rFonts w:ascii="Arial" w:hAnsi="Arial" w:cs="Arial"/>
          <w:sz w:val="24"/>
          <w:szCs w:val="24"/>
        </w:rPr>
        <w:t>elder</w:t>
      </w:r>
      <w:proofErr w:type="spellEnd"/>
      <w:r w:rsidRPr="00E53145">
        <w:rPr>
          <w:rFonts w:ascii="Arial" w:hAnsi="Arial" w:cs="Arial"/>
          <w:sz w:val="24"/>
          <w:szCs w:val="24"/>
        </w:rPr>
        <w:t xml:space="preserve"> abuse and </w:t>
      </w:r>
      <w:proofErr w:type="spellStart"/>
      <w:r w:rsidRPr="00E53145">
        <w:rPr>
          <w:rFonts w:ascii="Arial" w:hAnsi="Arial" w:cs="Arial"/>
          <w:sz w:val="24"/>
          <w:szCs w:val="24"/>
        </w:rPr>
        <w:t>neglect</w:t>
      </w:r>
      <w:proofErr w:type="spellEnd"/>
      <w:r w:rsidRPr="00E53145">
        <w:rPr>
          <w:rFonts w:ascii="Arial" w:hAnsi="Arial" w:cs="Arial"/>
          <w:sz w:val="24"/>
          <w:szCs w:val="24"/>
        </w:rPr>
        <w:t>, EAN) jednorázové nebo opakované, záměrné nebo nezáměrné jednání nebo nečinnost vůči člověku vyššího věku, typicky ve vztahu odůvodněně očekávatelné důvěry, v jehož důsledku došlo ke škodě či újmě fyzické, psychické, sociální, materiální, právní nebo mravní, případně k jejich kombinaci.</w:t>
      </w:r>
      <w:r w:rsidR="00DB0C93">
        <w:rPr>
          <w:rStyle w:val="Odkaznavysvtlivky"/>
          <w:rFonts w:ascii="Arial" w:hAnsi="Arial"/>
          <w:sz w:val="24"/>
        </w:rPr>
        <w:endnoteReference w:id="60"/>
      </w:r>
    </w:p>
    <w:p w14:paraId="5EDE7511" w14:textId="1F8D4801" w:rsidR="00E53145" w:rsidRPr="00E53145" w:rsidRDefault="00E53145" w:rsidP="00E53145">
      <w:pPr>
        <w:autoSpaceDE w:val="0"/>
        <w:autoSpaceDN w:val="0"/>
        <w:adjustRightInd w:val="0"/>
        <w:spacing w:after="0" w:line="360" w:lineRule="auto"/>
        <w:jc w:val="both"/>
        <w:rPr>
          <w:rFonts w:ascii="Arial" w:hAnsi="Arial" w:cs="Arial"/>
          <w:sz w:val="24"/>
          <w:szCs w:val="24"/>
        </w:rPr>
      </w:pPr>
      <w:r w:rsidRPr="00E53145">
        <w:rPr>
          <w:rFonts w:ascii="Arial" w:hAnsi="Arial" w:cs="Arial"/>
          <w:sz w:val="24"/>
          <w:szCs w:val="24"/>
        </w:rPr>
        <w:t xml:space="preserve">Podle výsledků studie projektu RESTABUS (2022) tímto fenoménem v ČR ve svém nejbližším okolí, ve veřejných kontextech nebo jako svědkové a svědkyně trpí 40 % seniorů a seniorek starších 65 let, ženy postihuje častěji než muže, ale diskrepance mezi pohlavími se zdá být menší než v případech evidovaného domácího násilí. Jinými slovy, EAN se zdá postihovat velkou množinu typů seniorů. </w:t>
      </w:r>
    </w:p>
    <w:p w14:paraId="63F83ED7" w14:textId="6BD17E12" w:rsidR="00E53145" w:rsidRPr="00E53145" w:rsidRDefault="00E53145" w:rsidP="00E53145">
      <w:pPr>
        <w:autoSpaceDE w:val="0"/>
        <w:autoSpaceDN w:val="0"/>
        <w:adjustRightInd w:val="0"/>
        <w:spacing w:after="0" w:line="360" w:lineRule="auto"/>
        <w:jc w:val="both"/>
        <w:rPr>
          <w:rFonts w:ascii="Arial" w:hAnsi="Arial" w:cs="Arial"/>
          <w:sz w:val="24"/>
          <w:szCs w:val="24"/>
        </w:rPr>
      </w:pPr>
      <w:r w:rsidRPr="00E53145">
        <w:rPr>
          <w:rFonts w:ascii="Arial" w:hAnsi="Arial" w:cs="Arial"/>
          <w:sz w:val="24"/>
          <w:szCs w:val="24"/>
        </w:rPr>
        <w:t xml:space="preserve">Výskyt zahrnuje všechny sledované formy EAN, tj. fyzické a psychické násilí, materiální a finanční zneužívání, omezování osobních svobod, podrývání důstojnosti, sexualizované násilí, násilí na internetu, viktimizaci a některé další. U osob starších 65 let žijících mimo institucionální péči v rámci celé ČR se prevalence pohybovala od 0,1 % (lékové násilí, zneužívání léků pro získání kontroly nad obětí) po 15 % (podrývání důstojnosti). V populaci to odpovídá 2169 až 325 366 osobám ročně. </w:t>
      </w:r>
    </w:p>
    <w:p w14:paraId="458FBCBC" w14:textId="209DE708" w:rsidR="00E53145" w:rsidRPr="00E53145" w:rsidRDefault="00E53145" w:rsidP="00E53145">
      <w:pPr>
        <w:autoSpaceDE w:val="0"/>
        <w:autoSpaceDN w:val="0"/>
        <w:adjustRightInd w:val="0"/>
        <w:spacing w:after="0" w:line="360" w:lineRule="auto"/>
        <w:jc w:val="both"/>
        <w:rPr>
          <w:rFonts w:ascii="Arial" w:hAnsi="Arial" w:cs="Arial"/>
          <w:sz w:val="24"/>
          <w:szCs w:val="24"/>
        </w:rPr>
      </w:pPr>
      <w:r w:rsidRPr="00E53145">
        <w:rPr>
          <w:rFonts w:ascii="Arial" w:hAnsi="Arial" w:cs="Arial"/>
          <w:sz w:val="24"/>
          <w:szCs w:val="24"/>
        </w:rPr>
        <w:t xml:space="preserve">Autoři navíc doplňují, že ani tyto podíly nelze považovat za konečné, tato metodologie totiž často popíše onu příslovečnou špičku ledovce, protože některé oběti k sobě třeba ani nesmí pustit tazatele či tazatelku, kteří by s nimi mohli dotazník vyplnit, nebo ho nesmí vyplnit zcela upřímně, protože na ně někdo „dohlíží“. Ale i tak jsou to nesmírně cenné informace. Ukazují totiž také třeba to, že jen poměrně malá část se s tím, co se událo, někomu </w:t>
      </w:r>
      <w:proofErr w:type="gramStart"/>
      <w:r w:rsidRPr="00E53145">
        <w:rPr>
          <w:rFonts w:ascii="Arial" w:hAnsi="Arial" w:cs="Arial"/>
          <w:sz w:val="24"/>
          <w:szCs w:val="24"/>
        </w:rPr>
        <w:t>svěří</w:t>
      </w:r>
      <w:proofErr w:type="gramEnd"/>
      <w:r w:rsidRPr="00E53145">
        <w:rPr>
          <w:rFonts w:ascii="Arial" w:hAnsi="Arial" w:cs="Arial"/>
          <w:sz w:val="24"/>
          <w:szCs w:val="24"/>
        </w:rPr>
        <w:t>, a že ne vždy toto svěření se vede ke zlepšení celé situace.</w:t>
      </w:r>
      <w:r w:rsidR="00DB0C93">
        <w:rPr>
          <w:rStyle w:val="Odkaznavysvtlivky"/>
          <w:rFonts w:ascii="Arial" w:hAnsi="Arial"/>
          <w:sz w:val="24"/>
        </w:rPr>
        <w:endnoteReference w:id="61"/>
      </w:r>
      <w:r w:rsidRPr="00E53145">
        <w:rPr>
          <w:rFonts w:ascii="Arial" w:hAnsi="Arial" w:cs="Arial"/>
          <w:sz w:val="24"/>
          <w:szCs w:val="24"/>
        </w:rPr>
        <w:t xml:space="preserve"> </w:t>
      </w:r>
    </w:p>
    <w:p w14:paraId="618793AA" w14:textId="7E67BC51" w:rsidR="001E0755" w:rsidRDefault="001E0755" w:rsidP="001E0755">
      <w:pPr>
        <w:spacing w:after="120" w:line="360" w:lineRule="auto"/>
        <w:jc w:val="both"/>
        <w:rPr>
          <w:rFonts w:ascii="Arial" w:hAnsi="Arial" w:cs="Arial"/>
          <w:sz w:val="24"/>
          <w:szCs w:val="24"/>
        </w:rPr>
      </w:pPr>
      <w:r w:rsidRPr="00F557CB">
        <w:rPr>
          <w:rFonts w:ascii="Arial" w:hAnsi="Arial" w:cs="Arial"/>
          <w:sz w:val="24"/>
          <w:szCs w:val="24"/>
        </w:rPr>
        <w:t xml:space="preserve">U starších osob </w:t>
      </w:r>
      <w:r>
        <w:rPr>
          <w:rFonts w:ascii="Arial" w:hAnsi="Arial" w:cs="Arial"/>
          <w:sz w:val="24"/>
          <w:szCs w:val="24"/>
        </w:rPr>
        <w:t xml:space="preserve">diskriminace souvisí </w:t>
      </w:r>
      <w:r w:rsidRPr="00F557CB">
        <w:rPr>
          <w:rFonts w:ascii="Arial" w:hAnsi="Arial" w:cs="Arial"/>
          <w:sz w:val="24"/>
          <w:szCs w:val="24"/>
        </w:rPr>
        <w:t xml:space="preserve">s mnoha </w:t>
      </w:r>
      <w:r w:rsidRPr="00D1573E">
        <w:rPr>
          <w:rFonts w:ascii="Arial" w:hAnsi="Arial" w:cs="Arial"/>
          <w:b/>
          <w:bCs/>
          <w:sz w:val="24"/>
          <w:szCs w:val="24"/>
        </w:rPr>
        <w:t>stereotypy a negativním vnímáním</w:t>
      </w:r>
      <w:r w:rsidRPr="00F557CB">
        <w:rPr>
          <w:rFonts w:ascii="Arial" w:hAnsi="Arial" w:cs="Arial"/>
          <w:sz w:val="24"/>
          <w:szCs w:val="24"/>
        </w:rPr>
        <w:t>, které jsou se stářím a stárnutím spojeny: neužitečnost a zátěž pro společnost, zpomalenost, nižší funkčnost kognitivních funkcí, zhoršený zdravotní stav, závislost na péči a pomoci druhých, neznalost moderních postupů a např. digitálních a</w:t>
      </w:r>
      <w:r w:rsidR="00683992">
        <w:rPr>
          <w:rFonts w:ascii="Arial" w:hAnsi="Arial" w:cs="Arial"/>
          <w:sz w:val="24"/>
          <w:szCs w:val="24"/>
        </w:rPr>
        <w:t> </w:t>
      </w:r>
      <w:r w:rsidRPr="00F557CB">
        <w:rPr>
          <w:rFonts w:ascii="Arial" w:hAnsi="Arial" w:cs="Arial"/>
          <w:sz w:val="24"/>
          <w:szCs w:val="24"/>
        </w:rPr>
        <w:t>komunikačních technologií.</w:t>
      </w:r>
      <w:r>
        <w:rPr>
          <w:rFonts w:ascii="Arial" w:hAnsi="Arial" w:cs="Arial"/>
          <w:sz w:val="24"/>
          <w:szCs w:val="24"/>
        </w:rPr>
        <w:t xml:space="preserve"> </w:t>
      </w:r>
      <w:r w:rsidRPr="00D1573E">
        <w:rPr>
          <w:rFonts w:ascii="Arial" w:hAnsi="Arial" w:cs="Arial"/>
          <w:sz w:val="24"/>
          <w:szCs w:val="24"/>
        </w:rPr>
        <w:t xml:space="preserve">Téměř každý desátý občan </w:t>
      </w:r>
      <w:r>
        <w:rPr>
          <w:rFonts w:ascii="Arial" w:hAnsi="Arial" w:cs="Arial"/>
          <w:sz w:val="24"/>
          <w:szCs w:val="24"/>
        </w:rPr>
        <w:t xml:space="preserve">však svoji osobní </w:t>
      </w:r>
      <w:r w:rsidRPr="00D1573E">
        <w:rPr>
          <w:rFonts w:ascii="Arial" w:hAnsi="Arial" w:cs="Arial"/>
          <w:sz w:val="24"/>
          <w:szCs w:val="24"/>
        </w:rPr>
        <w:t xml:space="preserve">zkušenost </w:t>
      </w:r>
      <w:r>
        <w:rPr>
          <w:rFonts w:ascii="Arial" w:hAnsi="Arial" w:cs="Arial"/>
          <w:sz w:val="24"/>
          <w:szCs w:val="24"/>
        </w:rPr>
        <w:t xml:space="preserve">s diskriminací </w:t>
      </w:r>
      <w:r w:rsidRPr="00D1573E">
        <w:rPr>
          <w:rFonts w:ascii="Arial" w:hAnsi="Arial" w:cs="Arial"/>
          <w:sz w:val="24"/>
          <w:szCs w:val="24"/>
        </w:rPr>
        <w:t xml:space="preserve">neoznámil </w:t>
      </w:r>
      <w:r>
        <w:rPr>
          <w:rFonts w:ascii="Arial" w:hAnsi="Arial" w:cs="Arial"/>
          <w:sz w:val="24"/>
          <w:szCs w:val="24"/>
        </w:rPr>
        <w:t xml:space="preserve">nějakým </w:t>
      </w:r>
      <w:r w:rsidRPr="00D1573E">
        <w:rPr>
          <w:rFonts w:ascii="Arial" w:hAnsi="Arial" w:cs="Arial"/>
          <w:sz w:val="24"/>
          <w:szCs w:val="24"/>
        </w:rPr>
        <w:t>úřadům či organizacím.</w:t>
      </w:r>
      <w:r>
        <w:rPr>
          <w:rStyle w:val="Odkaznavysvtlivky"/>
          <w:rFonts w:ascii="Arial" w:hAnsi="Arial"/>
          <w:sz w:val="24"/>
        </w:rPr>
        <w:endnoteReference w:id="62"/>
      </w:r>
      <w:r w:rsidRPr="00D1573E">
        <w:rPr>
          <w:rFonts w:ascii="Arial" w:hAnsi="Arial" w:cs="Arial"/>
          <w:sz w:val="24"/>
          <w:szCs w:val="24"/>
        </w:rPr>
        <w:t xml:space="preserve"> </w:t>
      </w:r>
      <w:r w:rsidRPr="00441D52">
        <w:rPr>
          <w:rFonts w:ascii="Arial" w:hAnsi="Arial" w:cs="Arial"/>
          <w:color w:val="FF0000"/>
          <w:sz w:val="24"/>
          <w:szCs w:val="24"/>
        </w:rPr>
        <w:t xml:space="preserve"> </w:t>
      </w:r>
      <w:r>
        <w:rPr>
          <w:rFonts w:ascii="Arial" w:hAnsi="Arial" w:cs="Arial"/>
          <w:sz w:val="24"/>
          <w:szCs w:val="24"/>
        </w:rPr>
        <w:t>Ohled na věk bere např. novela zákona o ochraně spotřebitele – zákon č. 378/2015 Sb. Tato novela se dotýká především zákazu nekalé obchodní praktiky ve vztahu k seniorům. Tento fenomén je nejčastěji spojován s prodejními výlety a agresivními postupy prodejců.</w:t>
      </w:r>
      <w:r>
        <w:rPr>
          <w:rStyle w:val="Odkaznavysvtlivky"/>
          <w:rFonts w:ascii="Arial" w:hAnsi="Arial"/>
          <w:sz w:val="24"/>
        </w:rPr>
        <w:endnoteReference w:id="63"/>
      </w:r>
      <w:r>
        <w:rPr>
          <w:rFonts w:ascii="Arial" w:hAnsi="Arial" w:cs="Arial"/>
          <w:sz w:val="24"/>
          <w:szCs w:val="24"/>
        </w:rPr>
        <w:t xml:space="preserve"> Přes velkou medializaci problému někteří senioři dále navštěvují předváděcí akce či podléhají nabídce prodejců. Velký vliv na rozhodování seniorů o účasti má jejich osamělost. Podle průzkumu nejčastějším důvodem účasti na </w:t>
      </w:r>
      <w:r w:rsidRPr="00CE346F">
        <w:rPr>
          <w:rFonts w:ascii="Arial" w:hAnsi="Arial" w:cs="Arial"/>
          <w:b/>
          <w:bCs/>
          <w:sz w:val="24"/>
          <w:szCs w:val="24"/>
        </w:rPr>
        <w:t>předváděcí akc</w:t>
      </w:r>
      <w:r>
        <w:rPr>
          <w:rFonts w:ascii="Arial" w:hAnsi="Arial" w:cs="Arial"/>
          <w:b/>
          <w:bCs/>
          <w:sz w:val="24"/>
          <w:szCs w:val="24"/>
        </w:rPr>
        <w:t>i</w:t>
      </w:r>
      <w:r w:rsidRPr="00CE346F">
        <w:rPr>
          <w:rFonts w:ascii="Arial" w:hAnsi="Arial" w:cs="Arial"/>
          <w:sz w:val="24"/>
          <w:szCs w:val="24"/>
        </w:rPr>
        <w:t xml:space="preserve"> </w:t>
      </w:r>
      <w:r>
        <w:rPr>
          <w:rFonts w:ascii="Arial" w:hAnsi="Arial" w:cs="Arial"/>
          <w:sz w:val="24"/>
          <w:szCs w:val="24"/>
        </w:rPr>
        <w:t xml:space="preserve">je </w:t>
      </w:r>
      <w:r w:rsidRPr="00CE346F">
        <w:rPr>
          <w:rFonts w:ascii="Arial" w:hAnsi="Arial" w:cs="Arial"/>
          <w:sz w:val="24"/>
          <w:szCs w:val="24"/>
        </w:rPr>
        <w:t xml:space="preserve">výlet (43 %), společnost vrstevníků (16 %) a seznámení </w:t>
      </w:r>
      <w:r>
        <w:rPr>
          <w:rFonts w:ascii="Arial" w:hAnsi="Arial" w:cs="Arial"/>
          <w:sz w:val="24"/>
          <w:szCs w:val="24"/>
        </w:rPr>
        <w:t xml:space="preserve">se </w:t>
      </w:r>
      <w:r w:rsidRPr="00CE346F">
        <w:rPr>
          <w:rFonts w:ascii="Arial" w:hAnsi="Arial" w:cs="Arial"/>
          <w:sz w:val="24"/>
          <w:szCs w:val="24"/>
        </w:rPr>
        <w:t>s moderními technologiemi (10 %).</w:t>
      </w:r>
      <w:r>
        <w:rPr>
          <w:rStyle w:val="Odkaznavysvtlivky"/>
          <w:rFonts w:ascii="Arial" w:hAnsi="Arial"/>
          <w:sz w:val="24"/>
        </w:rPr>
        <w:endnoteReference w:id="64"/>
      </w:r>
      <w:r w:rsidRPr="00CE346F">
        <w:rPr>
          <w:rFonts w:ascii="Arial" w:hAnsi="Arial" w:cs="Arial"/>
          <w:sz w:val="24"/>
          <w:szCs w:val="24"/>
        </w:rPr>
        <w:t xml:space="preserve"> </w:t>
      </w:r>
      <w:r w:rsidRPr="004E33E5">
        <w:rPr>
          <w:rFonts w:ascii="Arial" w:hAnsi="Arial" w:cs="Arial"/>
          <w:sz w:val="24"/>
          <w:szCs w:val="24"/>
        </w:rPr>
        <w:lastRenderedPageBreak/>
        <w:t>Obtížnější situaci seniorů reflektuj</w:t>
      </w:r>
      <w:r>
        <w:rPr>
          <w:rFonts w:ascii="Arial" w:hAnsi="Arial" w:cs="Arial"/>
          <w:sz w:val="24"/>
          <w:szCs w:val="24"/>
        </w:rPr>
        <w:t xml:space="preserve">e např. </w:t>
      </w:r>
      <w:r w:rsidRPr="00617D4C">
        <w:rPr>
          <w:rFonts w:ascii="Arial" w:hAnsi="Arial" w:cs="Arial"/>
          <w:b/>
          <w:bCs/>
          <w:sz w:val="24"/>
          <w:szCs w:val="24"/>
        </w:rPr>
        <w:t>zákon č. 45/2013 Sb., o obětech trestných činů</w:t>
      </w:r>
      <w:r w:rsidRPr="004E33E5">
        <w:rPr>
          <w:rFonts w:ascii="Arial" w:hAnsi="Arial" w:cs="Arial"/>
          <w:sz w:val="24"/>
          <w:szCs w:val="24"/>
        </w:rPr>
        <w:t>, ve znění pozdějších předpisů</w:t>
      </w:r>
      <w:r>
        <w:rPr>
          <w:rFonts w:ascii="Arial" w:hAnsi="Arial" w:cs="Arial"/>
          <w:sz w:val="24"/>
          <w:szCs w:val="24"/>
        </w:rPr>
        <w:t>.</w:t>
      </w:r>
      <w:r>
        <w:rPr>
          <w:rFonts w:ascii="Arial" w:hAnsi="Arial" w:cs="Arial"/>
          <w:color w:val="000000"/>
          <w:sz w:val="24"/>
        </w:rPr>
        <w:t xml:space="preserve"> Podle něj je zvlášť zranitelnou obětí osoba, která je vysokého věku a tato skutečnost může vzhledem k okolnostem případu a poměrům této osoby bránit jejímu plnému a účelnému uplatnění ve společnosti ve srovnání s ostatními členy. Tedy ne každý senior je automaticky zvlášť zranitelnou obětí. </w:t>
      </w:r>
      <w:r w:rsidRPr="00CE346F">
        <w:rPr>
          <w:rFonts w:ascii="Arial" w:hAnsi="Arial" w:cs="Arial"/>
          <w:bCs/>
          <w:sz w:val="24"/>
          <w:szCs w:val="24"/>
        </w:rPr>
        <w:t xml:space="preserve">V ČR </w:t>
      </w:r>
      <w:r w:rsidRPr="00CE346F">
        <w:rPr>
          <w:rFonts w:ascii="Arial" w:hAnsi="Arial" w:cs="Arial"/>
          <w:b/>
          <w:sz w:val="24"/>
          <w:szCs w:val="24"/>
        </w:rPr>
        <w:t xml:space="preserve">neexistuje sociologický výzkum </w:t>
      </w:r>
      <w:r w:rsidR="000E018E">
        <w:rPr>
          <w:rFonts w:ascii="Arial" w:hAnsi="Arial" w:cs="Arial"/>
          <w:b/>
          <w:sz w:val="24"/>
          <w:szCs w:val="24"/>
        </w:rPr>
        <w:t>s daty</w:t>
      </w:r>
      <w:r w:rsidRPr="00CE346F">
        <w:rPr>
          <w:rFonts w:ascii="Arial" w:hAnsi="Arial" w:cs="Arial"/>
          <w:b/>
          <w:sz w:val="24"/>
          <w:szCs w:val="24"/>
        </w:rPr>
        <w:t xml:space="preserve"> </w:t>
      </w:r>
      <w:r w:rsidRPr="00CE346F">
        <w:rPr>
          <w:rFonts w:ascii="Arial" w:hAnsi="Arial" w:cs="Arial"/>
          <w:bCs/>
          <w:sz w:val="24"/>
          <w:szCs w:val="24"/>
        </w:rPr>
        <w:t>seniorské diskriminace a zneužívání.</w:t>
      </w:r>
      <w:r>
        <w:rPr>
          <w:rStyle w:val="Odkaznavysvtlivky"/>
          <w:rFonts w:ascii="Arial" w:hAnsi="Arial"/>
          <w:sz w:val="24"/>
        </w:rPr>
        <w:endnoteReference w:id="65"/>
      </w:r>
      <w:r w:rsidRPr="00CE346F">
        <w:rPr>
          <w:rFonts w:ascii="Arial" w:hAnsi="Arial" w:cs="Arial"/>
          <w:bCs/>
          <w:sz w:val="24"/>
          <w:szCs w:val="24"/>
        </w:rPr>
        <w:t xml:space="preserve"> </w:t>
      </w:r>
      <w:r>
        <w:rPr>
          <w:rFonts w:ascii="Arial" w:hAnsi="Arial" w:cs="Arial"/>
          <w:bCs/>
          <w:sz w:val="24"/>
          <w:szCs w:val="24"/>
        </w:rPr>
        <w:t xml:space="preserve">Podle analýzy dat </w:t>
      </w:r>
      <w:r>
        <w:rPr>
          <w:rFonts w:ascii="Arial" w:hAnsi="Arial" w:cs="Arial"/>
          <w:b/>
          <w:bCs/>
          <w:sz w:val="24"/>
          <w:szCs w:val="24"/>
        </w:rPr>
        <w:t>p</w:t>
      </w:r>
      <w:r w:rsidRPr="00CE346F">
        <w:rPr>
          <w:rFonts w:ascii="Arial" w:hAnsi="Arial" w:cs="Arial"/>
          <w:b/>
          <w:bCs/>
          <w:sz w:val="24"/>
          <w:szCs w:val="24"/>
        </w:rPr>
        <w:t>ocit bezpečí</w:t>
      </w:r>
      <w:r w:rsidRPr="00CE346F">
        <w:rPr>
          <w:rFonts w:ascii="Arial" w:hAnsi="Arial" w:cs="Arial"/>
          <w:sz w:val="24"/>
          <w:szCs w:val="24"/>
        </w:rPr>
        <w:t xml:space="preserve"> ne</w:t>
      </w:r>
      <w:r>
        <w:rPr>
          <w:rFonts w:ascii="Arial" w:hAnsi="Arial" w:cs="Arial"/>
          <w:sz w:val="24"/>
          <w:szCs w:val="24"/>
        </w:rPr>
        <w:t>má</w:t>
      </w:r>
      <w:r w:rsidRPr="00CE346F">
        <w:rPr>
          <w:rFonts w:ascii="Arial" w:hAnsi="Arial" w:cs="Arial"/>
          <w:sz w:val="24"/>
          <w:szCs w:val="24"/>
        </w:rPr>
        <w:t xml:space="preserve"> 18,5 % osamělých seniorů. Nejbezpečněji se cítí senioři s příbuznými nebo s rodinou (84,3 %). Mnoho seniorů neopouští domov kvůli obavám z kriminality či ze strachu</w:t>
      </w:r>
      <w:r>
        <w:rPr>
          <w:rFonts w:ascii="Arial" w:hAnsi="Arial" w:cs="Arial"/>
          <w:sz w:val="24"/>
          <w:szCs w:val="24"/>
        </w:rPr>
        <w:t>, že přijdou k úrazu, popř. se necítí bezpečně kvůli aktuálnímu zdravotnímu stavu</w:t>
      </w:r>
      <w:r w:rsidRPr="00CE346F">
        <w:rPr>
          <w:rFonts w:ascii="Arial" w:hAnsi="Arial" w:cs="Arial"/>
          <w:sz w:val="24"/>
          <w:szCs w:val="24"/>
        </w:rPr>
        <w:t xml:space="preserve"> (37,5 %).</w:t>
      </w:r>
      <w:r>
        <w:rPr>
          <w:rStyle w:val="Odkaznavysvtlivky"/>
          <w:rFonts w:ascii="Arial" w:hAnsi="Arial"/>
          <w:sz w:val="24"/>
        </w:rPr>
        <w:endnoteReference w:id="66"/>
      </w:r>
      <w:r w:rsidRPr="00CE346F">
        <w:rPr>
          <w:rFonts w:ascii="Arial" w:hAnsi="Arial" w:cs="Arial"/>
          <w:sz w:val="24"/>
          <w:szCs w:val="24"/>
        </w:rPr>
        <w:t xml:space="preserve"> Pro 4 z 10 dotázaných je důvodem sníženého pocitu bezpečí nebo ohrožení chování nepřizpůsobivých spoluobčanů,</w:t>
      </w:r>
      <w:r>
        <w:rPr>
          <w:rStyle w:val="Odkaznavysvtlivky"/>
          <w:rFonts w:ascii="Arial" w:hAnsi="Arial"/>
          <w:sz w:val="24"/>
        </w:rPr>
        <w:endnoteReference w:id="67"/>
      </w:r>
      <w:r w:rsidRPr="00CE346F">
        <w:rPr>
          <w:rFonts w:ascii="Arial" w:hAnsi="Arial" w:cs="Arial"/>
          <w:sz w:val="24"/>
          <w:szCs w:val="24"/>
        </w:rPr>
        <w:t xml:space="preserve"> 37 % seniorů uvádí dopravu.</w:t>
      </w:r>
      <w:r>
        <w:rPr>
          <w:rStyle w:val="Odkaznavysvtlivky"/>
          <w:rFonts w:ascii="Arial" w:hAnsi="Arial"/>
          <w:sz w:val="24"/>
        </w:rPr>
        <w:endnoteReference w:id="68"/>
      </w:r>
      <w:r w:rsidRPr="00CE346F">
        <w:rPr>
          <w:rFonts w:ascii="Arial" w:hAnsi="Arial" w:cs="Arial"/>
          <w:sz w:val="24"/>
          <w:szCs w:val="24"/>
        </w:rPr>
        <w:t xml:space="preserve"> Ve věku 65-69 let došlo v roce 2019 </w:t>
      </w:r>
      <w:r>
        <w:rPr>
          <w:rFonts w:ascii="Arial" w:hAnsi="Arial" w:cs="Arial"/>
          <w:sz w:val="24"/>
          <w:szCs w:val="24"/>
        </w:rPr>
        <w:t xml:space="preserve">proti roku 2017 </w:t>
      </w:r>
      <w:r w:rsidRPr="00CE346F">
        <w:rPr>
          <w:rFonts w:ascii="Arial" w:hAnsi="Arial" w:cs="Arial"/>
          <w:sz w:val="24"/>
          <w:szCs w:val="24"/>
        </w:rPr>
        <w:t xml:space="preserve">ke snížení </w:t>
      </w:r>
      <w:r w:rsidRPr="00CE346F">
        <w:rPr>
          <w:rFonts w:ascii="Arial" w:hAnsi="Arial" w:cs="Arial"/>
          <w:b/>
          <w:bCs/>
          <w:sz w:val="24"/>
          <w:szCs w:val="24"/>
        </w:rPr>
        <w:t>úmyslného sebepoškození</w:t>
      </w:r>
      <w:r>
        <w:rPr>
          <w:rFonts w:ascii="Arial" w:hAnsi="Arial" w:cs="Arial"/>
          <w:b/>
          <w:bCs/>
          <w:sz w:val="24"/>
          <w:szCs w:val="24"/>
        </w:rPr>
        <w:t xml:space="preserve"> seniorů</w:t>
      </w:r>
      <w:r w:rsidRPr="00CE346F">
        <w:rPr>
          <w:rFonts w:ascii="Arial" w:hAnsi="Arial" w:cs="Arial"/>
          <w:sz w:val="24"/>
          <w:szCs w:val="24"/>
        </w:rPr>
        <w:t xml:space="preserve">. K akceleraci růstu </w:t>
      </w:r>
      <w:r>
        <w:rPr>
          <w:rFonts w:ascii="Arial" w:hAnsi="Arial" w:cs="Arial"/>
          <w:sz w:val="24"/>
          <w:szCs w:val="24"/>
        </w:rPr>
        <w:t xml:space="preserve">úmyslného sebepoškození seniorů v tomto období </w:t>
      </w:r>
      <w:r w:rsidRPr="00CE346F">
        <w:rPr>
          <w:rFonts w:ascii="Arial" w:hAnsi="Arial" w:cs="Arial"/>
          <w:sz w:val="24"/>
          <w:szCs w:val="24"/>
        </w:rPr>
        <w:t>dochází ve věku 70-74 a 90-94 let</w:t>
      </w:r>
      <w:r>
        <w:rPr>
          <w:rFonts w:ascii="Arial" w:hAnsi="Arial" w:cs="Arial"/>
          <w:sz w:val="24"/>
          <w:szCs w:val="24"/>
        </w:rPr>
        <w:t>.</w:t>
      </w:r>
      <w:r>
        <w:rPr>
          <w:rStyle w:val="Odkaznavysvtlivky"/>
          <w:rFonts w:ascii="Arial" w:hAnsi="Arial"/>
          <w:sz w:val="24"/>
        </w:rPr>
        <w:endnoteReference w:id="69"/>
      </w:r>
      <w:r w:rsidRPr="00CE346F">
        <w:rPr>
          <w:rFonts w:ascii="Arial" w:hAnsi="Arial" w:cs="Arial"/>
          <w:sz w:val="24"/>
          <w:szCs w:val="24"/>
        </w:rPr>
        <w:t xml:space="preserve"> </w:t>
      </w:r>
      <w:r>
        <w:rPr>
          <w:rFonts w:ascii="Arial" w:hAnsi="Arial" w:cs="Arial"/>
          <w:sz w:val="24"/>
          <w:szCs w:val="24"/>
        </w:rPr>
        <w:t xml:space="preserve">Novým fenoménem je </w:t>
      </w:r>
      <w:r>
        <w:rPr>
          <w:rFonts w:ascii="Arial" w:hAnsi="Arial" w:cs="Arial"/>
          <w:b/>
          <w:bCs/>
          <w:sz w:val="24"/>
          <w:szCs w:val="24"/>
        </w:rPr>
        <w:t>r</w:t>
      </w:r>
      <w:r w:rsidRPr="00CE346F">
        <w:rPr>
          <w:rFonts w:ascii="Arial" w:hAnsi="Arial" w:cs="Arial"/>
          <w:b/>
          <w:bCs/>
          <w:sz w:val="24"/>
          <w:szCs w:val="24"/>
        </w:rPr>
        <w:t xml:space="preserve">izikové chování </w:t>
      </w:r>
      <w:r>
        <w:rPr>
          <w:rFonts w:ascii="Arial" w:hAnsi="Arial" w:cs="Arial"/>
          <w:b/>
          <w:bCs/>
          <w:sz w:val="24"/>
          <w:szCs w:val="24"/>
        </w:rPr>
        <w:t xml:space="preserve">seniorů </w:t>
      </w:r>
      <w:r w:rsidRPr="00CE346F">
        <w:rPr>
          <w:rFonts w:ascii="Arial" w:hAnsi="Arial" w:cs="Arial"/>
          <w:b/>
          <w:bCs/>
          <w:sz w:val="24"/>
          <w:szCs w:val="24"/>
        </w:rPr>
        <w:t>na internetu</w:t>
      </w:r>
      <w:r w:rsidRPr="002B1D7A">
        <w:rPr>
          <w:rFonts w:ascii="Arial" w:hAnsi="Arial" w:cs="Arial"/>
          <w:sz w:val="24"/>
          <w:szCs w:val="24"/>
        </w:rPr>
        <w:t>. Jedná se především o</w:t>
      </w:r>
      <w:r w:rsidR="00683992">
        <w:rPr>
          <w:rFonts w:ascii="Arial" w:hAnsi="Arial" w:cs="Arial"/>
          <w:sz w:val="24"/>
          <w:szCs w:val="24"/>
        </w:rPr>
        <w:t> </w:t>
      </w:r>
      <w:r w:rsidRPr="00CE346F">
        <w:rPr>
          <w:rFonts w:ascii="Arial" w:hAnsi="Arial" w:cs="Arial"/>
          <w:sz w:val="24"/>
          <w:szCs w:val="24"/>
        </w:rPr>
        <w:t>důvěřivost</w:t>
      </w:r>
      <w:r>
        <w:rPr>
          <w:rFonts w:ascii="Arial" w:hAnsi="Arial" w:cs="Arial"/>
          <w:sz w:val="24"/>
          <w:szCs w:val="24"/>
        </w:rPr>
        <w:t xml:space="preserve"> a </w:t>
      </w:r>
      <w:r w:rsidRPr="00CE346F">
        <w:rPr>
          <w:rFonts w:ascii="Arial" w:hAnsi="Arial" w:cs="Arial"/>
          <w:sz w:val="24"/>
          <w:szCs w:val="24"/>
        </w:rPr>
        <w:t>špatn</w:t>
      </w:r>
      <w:r>
        <w:rPr>
          <w:rFonts w:ascii="Arial" w:hAnsi="Arial" w:cs="Arial"/>
          <w:sz w:val="24"/>
          <w:szCs w:val="24"/>
        </w:rPr>
        <w:t>é</w:t>
      </w:r>
      <w:r w:rsidRPr="00CE346F">
        <w:rPr>
          <w:rFonts w:ascii="Arial" w:hAnsi="Arial" w:cs="Arial"/>
          <w:sz w:val="24"/>
          <w:szCs w:val="24"/>
        </w:rPr>
        <w:t xml:space="preserve"> zabezpečení při seznamování, nakupování a používání internetového bankovnictví</w:t>
      </w:r>
      <w:r>
        <w:rPr>
          <w:rFonts w:ascii="Arial" w:hAnsi="Arial" w:cs="Arial"/>
          <w:sz w:val="24"/>
          <w:szCs w:val="24"/>
        </w:rPr>
        <w:t>. Varovné a v rámci mediálního povědomí šíření vyhledávání a konzumace informací</w:t>
      </w:r>
      <w:r w:rsidRPr="00CE346F">
        <w:rPr>
          <w:rFonts w:ascii="Arial" w:hAnsi="Arial" w:cs="Arial"/>
          <w:sz w:val="24"/>
          <w:szCs w:val="24"/>
        </w:rPr>
        <w:t xml:space="preserve">. </w:t>
      </w:r>
      <w:r>
        <w:rPr>
          <w:rFonts w:ascii="Arial" w:hAnsi="Arial" w:cs="Arial"/>
          <w:sz w:val="24"/>
          <w:szCs w:val="24"/>
        </w:rPr>
        <w:t>Zde se senioři, stejně jako další věkové skupiny, podílejí na šíření dezinformací a falešných zpráv. E-maily, které v</w:t>
      </w:r>
      <w:r w:rsidRPr="00CE346F">
        <w:rPr>
          <w:rFonts w:ascii="Arial" w:hAnsi="Arial" w:cs="Arial"/>
          <w:sz w:val="24"/>
          <w:szCs w:val="24"/>
        </w:rPr>
        <w:t>ar</w:t>
      </w:r>
      <w:r>
        <w:rPr>
          <w:rFonts w:ascii="Arial" w:hAnsi="Arial" w:cs="Arial"/>
          <w:sz w:val="24"/>
          <w:szCs w:val="24"/>
        </w:rPr>
        <w:t>ují</w:t>
      </w:r>
      <w:r w:rsidRPr="00CE346F">
        <w:rPr>
          <w:rFonts w:ascii="Arial" w:hAnsi="Arial" w:cs="Arial"/>
          <w:sz w:val="24"/>
          <w:szCs w:val="24"/>
        </w:rPr>
        <w:t xml:space="preserve"> před nebezpečím </w:t>
      </w:r>
      <w:r>
        <w:rPr>
          <w:rFonts w:ascii="Arial" w:hAnsi="Arial" w:cs="Arial"/>
          <w:sz w:val="24"/>
          <w:szCs w:val="24"/>
        </w:rPr>
        <w:t xml:space="preserve">(např. migrace, islám) </w:t>
      </w:r>
      <w:r w:rsidRPr="00CE346F">
        <w:rPr>
          <w:rFonts w:ascii="Arial" w:hAnsi="Arial" w:cs="Arial"/>
          <w:sz w:val="24"/>
          <w:szCs w:val="24"/>
        </w:rPr>
        <w:t xml:space="preserve">rozšiřuje 35 % osob ve věku 55–64 </w:t>
      </w:r>
      <w:r>
        <w:rPr>
          <w:rFonts w:ascii="Arial" w:hAnsi="Arial" w:cs="Arial"/>
          <w:sz w:val="24"/>
          <w:szCs w:val="24"/>
        </w:rPr>
        <w:t>let a 47 % osob ve věku 65 + (u osob mladších 35 let je to 4x méně).</w:t>
      </w:r>
      <w:r>
        <w:rPr>
          <w:rStyle w:val="Odkaznavysvtlivky"/>
          <w:rFonts w:ascii="Arial" w:hAnsi="Arial"/>
          <w:sz w:val="24"/>
        </w:rPr>
        <w:endnoteReference w:id="70"/>
      </w:r>
    </w:p>
    <w:p w14:paraId="5E5226BB" w14:textId="6AE4D5BC" w:rsidR="005272B7" w:rsidRDefault="005272B7" w:rsidP="001E0755">
      <w:pPr>
        <w:spacing w:after="120" w:line="360" w:lineRule="auto"/>
        <w:jc w:val="both"/>
        <w:rPr>
          <w:rFonts w:ascii="Arial" w:hAnsi="Arial" w:cs="Arial"/>
          <w:sz w:val="24"/>
          <w:szCs w:val="24"/>
        </w:rPr>
      </w:pPr>
    </w:p>
    <w:p w14:paraId="767A1B75" w14:textId="1CA08800" w:rsidR="0091594F" w:rsidRDefault="0091594F" w:rsidP="00F002C1">
      <w:pPr>
        <w:pStyle w:val="Nadpis1"/>
        <w:pBdr>
          <w:bottom w:val="single" w:sz="4" w:space="1" w:color="auto"/>
        </w:pBdr>
        <w:spacing w:after="200"/>
      </w:pPr>
      <w:bookmarkStart w:id="27" w:name="_Toc137819487"/>
      <w:r>
        <w:t xml:space="preserve">5. Predikce vývoje </w:t>
      </w:r>
      <w:r w:rsidR="00E87AE8">
        <w:t>makro</w:t>
      </w:r>
      <w:r>
        <w:t>ekonomických a sociálních aspektů z pohledu politiky stárnutí</w:t>
      </w:r>
      <w:bookmarkEnd w:id="27"/>
    </w:p>
    <w:p w14:paraId="20398389" w14:textId="5BA323C8" w:rsidR="00E87AE8" w:rsidRDefault="007C7AFE" w:rsidP="001E0755">
      <w:pPr>
        <w:spacing w:after="120" w:line="360" w:lineRule="auto"/>
        <w:jc w:val="both"/>
        <w:rPr>
          <w:rFonts w:ascii="Arial" w:hAnsi="Arial" w:cs="Arial"/>
          <w:sz w:val="24"/>
          <w:szCs w:val="24"/>
        </w:rPr>
      </w:pPr>
      <w:r>
        <w:rPr>
          <w:rFonts w:ascii="Arial" w:hAnsi="Arial" w:cs="Arial"/>
          <w:sz w:val="24"/>
          <w:szCs w:val="24"/>
        </w:rPr>
        <w:t>Politiku stárnutí</w:t>
      </w:r>
      <w:r w:rsidR="00E87AE8">
        <w:rPr>
          <w:rFonts w:ascii="Arial" w:hAnsi="Arial" w:cs="Arial"/>
          <w:sz w:val="24"/>
          <w:szCs w:val="24"/>
        </w:rPr>
        <w:t xml:space="preserve"> přímo či nepřímo ovlivňuje očekávaný vývoj makroekonomických ukazatelů. Všechna očekávání a prognózy jsou pak zohledněny v návrhové části konkrétně pak v navrhovaných opatřeních a indikátorech. Hospodářský růst a silný sociální stát, nové politiky musí zohledňovat dopad na trh práce a systém sociální ochrany. </w:t>
      </w:r>
    </w:p>
    <w:p w14:paraId="0999A26E" w14:textId="135771D1" w:rsidR="00FB5AA6" w:rsidRDefault="00E87AE8" w:rsidP="001E0755">
      <w:pPr>
        <w:spacing w:after="120" w:line="360" w:lineRule="auto"/>
        <w:jc w:val="both"/>
        <w:rPr>
          <w:rFonts w:ascii="Arial" w:hAnsi="Arial" w:cs="Arial"/>
          <w:sz w:val="24"/>
          <w:szCs w:val="24"/>
        </w:rPr>
      </w:pPr>
      <w:r>
        <w:rPr>
          <w:rFonts w:ascii="Arial" w:hAnsi="Arial" w:cs="Arial"/>
          <w:sz w:val="24"/>
          <w:szCs w:val="24"/>
        </w:rPr>
        <w:t>K</w:t>
      </w:r>
      <w:r w:rsidR="00FB5AA6">
        <w:rPr>
          <w:rFonts w:ascii="Arial" w:hAnsi="Arial" w:cs="Arial"/>
          <w:sz w:val="24"/>
          <w:szCs w:val="24"/>
        </w:rPr>
        <w:t xml:space="preserve"> makroekonomickým </w:t>
      </w:r>
      <w:r>
        <w:rPr>
          <w:rFonts w:ascii="Arial" w:hAnsi="Arial" w:cs="Arial"/>
          <w:sz w:val="24"/>
          <w:szCs w:val="24"/>
        </w:rPr>
        <w:t xml:space="preserve">ukazatelům, </w:t>
      </w:r>
      <w:r w:rsidR="00FB5AA6">
        <w:rPr>
          <w:rFonts w:ascii="Arial" w:hAnsi="Arial" w:cs="Arial"/>
          <w:sz w:val="24"/>
          <w:szCs w:val="24"/>
        </w:rPr>
        <w:t xml:space="preserve">u </w:t>
      </w:r>
      <w:r>
        <w:rPr>
          <w:rFonts w:ascii="Arial" w:hAnsi="Arial" w:cs="Arial"/>
          <w:sz w:val="24"/>
          <w:szCs w:val="24"/>
        </w:rPr>
        <w:t>kter</w:t>
      </w:r>
      <w:r w:rsidR="00FB5AA6">
        <w:rPr>
          <w:rFonts w:ascii="Arial" w:hAnsi="Arial" w:cs="Arial"/>
          <w:sz w:val="24"/>
          <w:szCs w:val="24"/>
        </w:rPr>
        <w:t xml:space="preserve">ých budeme sledovat vývoj v budoucím období, tak </w:t>
      </w:r>
      <w:proofErr w:type="gramStart"/>
      <w:r w:rsidR="00FB5AA6">
        <w:rPr>
          <w:rFonts w:ascii="Arial" w:hAnsi="Arial" w:cs="Arial"/>
          <w:sz w:val="24"/>
          <w:szCs w:val="24"/>
        </w:rPr>
        <w:t>patří</w:t>
      </w:r>
      <w:proofErr w:type="gramEnd"/>
      <w:r w:rsidR="00FB5AA6">
        <w:rPr>
          <w:rFonts w:ascii="Arial" w:hAnsi="Arial" w:cs="Arial"/>
          <w:sz w:val="24"/>
          <w:szCs w:val="24"/>
        </w:rPr>
        <w:t>:</w:t>
      </w:r>
      <w:r w:rsidR="007C7AFE">
        <w:rPr>
          <w:rFonts w:ascii="Arial" w:hAnsi="Arial" w:cs="Arial"/>
          <w:sz w:val="24"/>
          <w:szCs w:val="24"/>
        </w:rPr>
        <w:t xml:space="preserve"> </w:t>
      </w:r>
      <w:r w:rsidR="00FB5AA6">
        <w:rPr>
          <w:rFonts w:ascii="Arial" w:hAnsi="Arial" w:cs="Arial"/>
          <w:sz w:val="24"/>
          <w:szCs w:val="24"/>
        </w:rPr>
        <w:t>Hrubý domácí produkt</w:t>
      </w:r>
      <w:r w:rsidR="007C7AFE">
        <w:rPr>
          <w:rFonts w:ascii="Arial" w:hAnsi="Arial" w:cs="Arial"/>
          <w:sz w:val="24"/>
          <w:szCs w:val="24"/>
        </w:rPr>
        <w:t xml:space="preserve">, </w:t>
      </w:r>
      <w:r w:rsidR="00FB5AA6">
        <w:rPr>
          <w:rFonts w:ascii="Arial" w:hAnsi="Arial" w:cs="Arial"/>
          <w:sz w:val="24"/>
          <w:szCs w:val="24"/>
        </w:rPr>
        <w:t>Inflac</w:t>
      </w:r>
      <w:r w:rsidR="007C7AFE">
        <w:rPr>
          <w:rFonts w:ascii="Arial" w:hAnsi="Arial" w:cs="Arial"/>
          <w:sz w:val="24"/>
          <w:szCs w:val="24"/>
        </w:rPr>
        <w:t>e, Ne/</w:t>
      </w:r>
      <w:r w:rsidR="00FB5AA6">
        <w:rPr>
          <w:rFonts w:ascii="Arial" w:hAnsi="Arial" w:cs="Arial"/>
          <w:sz w:val="24"/>
          <w:szCs w:val="24"/>
        </w:rPr>
        <w:t>Zaměstnanost</w:t>
      </w:r>
      <w:r w:rsidR="007C7AFE">
        <w:rPr>
          <w:rFonts w:ascii="Arial" w:hAnsi="Arial" w:cs="Arial"/>
          <w:sz w:val="24"/>
          <w:szCs w:val="24"/>
        </w:rPr>
        <w:t xml:space="preserve">, případně další. </w:t>
      </w:r>
    </w:p>
    <w:p w14:paraId="4184A273" w14:textId="4545573C" w:rsidR="007C7AFE" w:rsidRDefault="00FB5AA6" w:rsidP="007C7AFE">
      <w:pPr>
        <w:spacing w:after="120" w:line="360" w:lineRule="auto"/>
        <w:jc w:val="both"/>
        <w:rPr>
          <w:rFonts w:ascii="Arial" w:hAnsi="Arial" w:cs="Arial"/>
          <w:sz w:val="24"/>
          <w:szCs w:val="24"/>
        </w:rPr>
      </w:pPr>
      <w:r>
        <w:rPr>
          <w:rFonts w:ascii="Arial" w:hAnsi="Arial" w:cs="Arial"/>
          <w:sz w:val="24"/>
          <w:szCs w:val="24"/>
        </w:rPr>
        <w:lastRenderedPageBreak/>
        <w:t>Predikce vývoj sociální oblasti bude zkoumána pomocí těchto ukazatelů:</w:t>
      </w:r>
      <w:r w:rsidR="007C7AFE">
        <w:rPr>
          <w:rFonts w:ascii="Arial" w:hAnsi="Arial" w:cs="Arial"/>
          <w:sz w:val="24"/>
          <w:szCs w:val="24"/>
        </w:rPr>
        <w:t xml:space="preserve"> </w:t>
      </w:r>
      <w:r>
        <w:rPr>
          <w:rFonts w:ascii="Arial" w:hAnsi="Arial" w:cs="Arial"/>
          <w:sz w:val="24"/>
          <w:szCs w:val="24"/>
        </w:rPr>
        <w:t>P</w:t>
      </w:r>
      <w:r w:rsidR="007C7AFE">
        <w:rPr>
          <w:rFonts w:ascii="Arial" w:hAnsi="Arial" w:cs="Arial"/>
          <w:sz w:val="24"/>
          <w:szCs w:val="24"/>
        </w:rPr>
        <w:t>orodnost,</w:t>
      </w:r>
    </w:p>
    <w:p w14:paraId="30BFFAD9" w14:textId="78C6B4D1" w:rsidR="00FB5AA6" w:rsidRDefault="00FB5AA6" w:rsidP="001E0755">
      <w:pPr>
        <w:spacing w:after="120" w:line="360" w:lineRule="auto"/>
        <w:jc w:val="both"/>
        <w:rPr>
          <w:rFonts w:ascii="Arial" w:hAnsi="Arial" w:cs="Arial"/>
          <w:sz w:val="24"/>
          <w:szCs w:val="24"/>
        </w:rPr>
      </w:pPr>
      <w:r>
        <w:rPr>
          <w:rFonts w:ascii="Arial" w:hAnsi="Arial" w:cs="Arial"/>
          <w:sz w:val="24"/>
          <w:szCs w:val="24"/>
        </w:rPr>
        <w:t>Důchody, počet důchodců, doba strávení v</w:t>
      </w:r>
      <w:r w:rsidR="007C7AFE">
        <w:rPr>
          <w:rFonts w:ascii="Arial" w:hAnsi="Arial" w:cs="Arial"/>
          <w:sz w:val="24"/>
          <w:szCs w:val="24"/>
        </w:rPr>
        <w:t> </w:t>
      </w:r>
      <w:r>
        <w:rPr>
          <w:rFonts w:ascii="Arial" w:hAnsi="Arial" w:cs="Arial"/>
          <w:sz w:val="24"/>
          <w:szCs w:val="24"/>
        </w:rPr>
        <w:t>důchodu</w:t>
      </w:r>
      <w:r w:rsidR="007C7AFE">
        <w:rPr>
          <w:rFonts w:ascii="Arial" w:hAnsi="Arial" w:cs="Arial"/>
          <w:sz w:val="24"/>
          <w:szCs w:val="24"/>
        </w:rPr>
        <w:t xml:space="preserve">, Nabídka služeb a jejich kapacity, případně další. </w:t>
      </w:r>
    </w:p>
    <w:p w14:paraId="43169F27" w14:textId="77777777" w:rsidR="00EB1D9A" w:rsidRDefault="00EB1D9A" w:rsidP="001E0755">
      <w:pPr>
        <w:spacing w:after="120" w:line="360" w:lineRule="auto"/>
        <w:jc w:val="both"/>
        <w:rPr>
          <w:rFonts w:ascii="Arial" w:hAnsi="Arial" w:cs="Arial"/>
          <w:sz w:val="24"/>
          <w:szCs w:val="24"/>
        </w:rPr>
      </w:pPr>
    </w:p>
    <w:p w14:paraId="0B433E6B" w14:textId="7A13C167" w:rsidR="00EB1D9A" w:rsidRDefault="00EB1D9A" w:rsidP="00F002C1">
      <w:pPr>
        <w:pStyle w:val="Nadpis1"/>
        <w:pBdr>
          <w:bottom w:val="single" w:sz="4" w:space="1" w:color="auto"/>
        </w:pBdr>
        <w:spacing w:after="200"/>
      </w:pPr>
      <w:bookmarkStart w:id="28" w:name="_Toc137819488"/>
      <w:r>
        <w:t>6</w:t>
      </w:r>
      <w:r w:rsidRPr="002901FE">
        <w:t xml:space="preserve">. </w:t>
      </w:r>
      <w:r>
        <w:t>SWOT analýza politiky stárnutí</w:t>
      </w:r>
      <w:bookmarkEnd w:id="28"/>
      <w:r w:rsidRPr="002901FE">
        <w:t xml:space="preserve"> </w:t>
      </w:r>
    </w:p>
    <w:p w14:paraId="1B3562F3" w14:textId="0B258901" w:rsidR="007D7065" w:rsidRDefault="007D7065" w:rsidP="007D7065">
      <w:pPr>
        <w:pStyle w:val="xmsonormal"/>
        <w:spacing w:after="200" w:line="360" w:lineRule="auto"/>
        <w:jc w:val="both"/>
        <w:rPr>
          <w:rFonts w:ascii="Arial" w:hAnsi="Arial" w:cs="Arial"/>
          <w:sz w:val="24"/>
          <w:szCs w:val="24"/>
        </w:rPr>
      </w:pPr>
      <w:bookmarkStart w:id="29" w:name="_Toc129346882"/>
      <w:r w:rsidRPr="007D7065">
        <w:rPr>
          <w:rFonts w:ascii="Arial" w:hAnsi="Arial" w:cs="Arial"/>
          <w:sz w:val="24"/>
          <w:szCs w:val="24"/>
        </w:rPr>
        <w:t xml:space="preserve">V následující tabulce uvádíme </w:t>
      </w:r>
      <w:r w:rsidR="007C7AFE">
        <w:rPr>
          <w:rFonts w:ascii="Arial" w:hAnsi="Arial" w:cs="Arial"/>
          <w:sz w:val="24"/>
          <w:szCs w:val="24"/>
        </w:rPr>
        <w:t>analýzu silných a slabých stránek, příležitostí a hrozeb v oblasti politiky stárnutí, která je spojena s následným definováním cílů a opatření</w:t>
      </w:r>
      <w:proofErr w:type="gramStart"/>
      <w:r w:rsidR="007C7AFE">
        <w:rPr>
          <w:rFonts w:ascii="Arial" w:hAnsi="Arial" w:cs="Arial"/>
          <w:sz w:val="24"/>
          <w:szCs w:val="24"/>
        </w:rPr>
        <w:t xml:space="preserve">. </w:t>
      </w:r>
      <w:r w:rsidRPr="007D7065">
        <w:rPr>
          <w:rFonts w:ascii="Arial" w:hAnsi="Arial" w:cs="Arial"/>
          <w:sz w:val="24"/>
          <w:szCs w:val="24"/>
        </w:rPr>
        <w:t>,</w:t>
      </w:r>
      <w:proofErr w:type="gramEnd"/>
      <w:r w:rsidRPr="007D7065">
        <w:rPr>
          <w:rFonts w:ascii="Arial" w:hAnsi="Arial" w:cs="Arial"/>
          <w:sz w:val="24"/>
          <w:szCs w:val="24"/>
        </w:rPr>
        <w:t xml:space="preserve"> které je</w:t>
      </w:r>
      <w:r>
        <w:rPr>
          <w:rFonts w:ascii="Arial" w:hAnsi="Arial" w:cs="Arial"/>
          <w:sz w:val="24"/>
          <w:szCs w:val="24"/>
        </w:rPr>
        <w:t xml:space="preserve"> </w:t>
      </w:r>
      <w:r w:rsidRPr="007D7065">
        <w:rPr>
          <w:rFonts w:ascii="Arial" w:hAnsi="Arial" w:cs="Arial"/>
          <w:sz w:val="24"/>
          <w:szCs w:val="24"/>
        </w:rPr>
        <w:t>d</w:t>
      </w:r>
      <w:r w:rsidR="0091594F">
        <w:rPr>
          <w:rFonts w:ascii="Arial" w:hAnsi="Arial" w:cs="Arial"/>
          <w:sz w:val="24"/>
          <w:szCs w:val="24"/>
        </w:rPr>
        <w:t>ů</w:t>
      </w:r>
      <w:r w:rsidRPr="007D7065">
        <w:rPr>
          <w:rFonts w:ascii="Arial" w:hAnsi="Arial" w:cs="Arial"/>
          <w:sz w:val="24"/>
          <w:szCs w:val="24"/>
        </w:rPr>
        <w:t>ležitým vstupem pro návrh cíl</w:t>
      </w:r>
      <w:r w:rsidR="0091594F">
        <w:rPr>
          <w:rFonts w:ascii="Arial" w:hAnsi="Arial" w:cs="Arial"/>
          <w:sz w:val="24"/>
          <w:szCs w:val="24"/>
        </w:rPr>
        <w:t>ů</w:t>
      </w:r>
      <w:r w:rsidRPr="007D7065">
        <w:rPr>
          <w:rFonts w:ascii="Arial" w:hAnsi="Arial" w:cs="Arial"/>
          <w:sz w:val="24"/>
          <w:szCs w:val="24"/>
        </w:rPr>
        <w:t xml:space="preserve"> a opat</w:t>
      </w:r>
      <w:r w:rsidR="0091594F">
        <w:rPr>
          <w:rFonts w:ascii="Arial" w:hAnsi="Arial" w:cs="Arial"/>
          <w:sz w:val="24"/>
          <w:szCs w:val="24"/>
        </w:rPr>
        <w:t>ř</w:t>
      </w:r>
      <w:r w:rsidRPr="007D7065">
        <w:rPr>
          <w:rFonts w:ascii="Arial" w:hAnsi="Arial" w:cs="Arial"/>
          <w:sz w:val="24"/>
          <w:szCs w:val="24"/>
        </w:rPr>
        <w:t xml:space="preserve">ení </w:t>
      </w:r>
      <w:r w:rsidR="0091594F">
        <w:rPr>
          <w:rFonts w:ascii="Arial" w:hAnsi="Arial" w:cs="Arial"/>
          <w:sz w:val="24"/>
          <w:szCs w:val="24"/>
        </w:rPr>
        <w:t>tohoto Akčního plánu</w:t>
      </w:r>
      <w:r w:rsidRPr="007D7065">
        <w:rPr>
          <w:rFonts w:ascii="Arial" w:hAnsi="Arial" w:cs="Arial"/>
          <w:sz w:val="24"/>
          <w:szCs w:val="24"/>
        </w:rPr>
        <w:t xml:space="preserve">. </w:t>
      </w:r>
    </w:p>
    <w:bookmarkEnd w:id="29"/>
    <w:p w14:paraId="7ACE255A" w14:textId="69367424" w:rsidR="006C7248" w:rsidRPr="006C7248" w:rsidRDefault="00A53AB2" w:rsidP="006C7248">
      <w:pPr>
        <w:autoSpaceDE w:val="0"/>
        <w:autoSpaceDN w:val="0"/>
        <w:adjustRightInd w:val="0"/>
        <w:spacing w:after="0" w:line="360" w:lineRule="auto"/>
        <w:jc w:val="both"/>
        <w:rPr>
          <w:rFonts w:ascii="Arial" w:hAnsi="Arial" w:cs="Arial"/>
          <w:sz w:val="24"/>
          <w:szCs w:val="24"/>
        </w:rPr>
      </w:pPr>
      <w:r w:rsidRPr="006C7248">
        <w:rPr>
          <w:rFonts w:ascii="Arial" w:hAnsi="Arial" w:cs="Arial"/>
          <w:sz w:val="24"/>
          <w:szCs w:val="24"/>
        </w:rPr>
        <w:t>Tabulka č. 3: Přehled silných a slabých stránek,</w:t>
      </w:r>
      <w:r>
        <w:rPr>
          <w:rFonts w:ascii="Arial" w:hAnsi="Arial" w:cs="Arial"/>
          <w:sz w:val="24"/>
          <w:szCs w:val="24"/>
        </w:rPr>
        <w:t xml:space="preserve"> příležitostí a hrozeb</w:t>
      </w:r>
    </w:p>
    <w:tbl>
      <w:tblPr>
        <w:tblStyle w:val="Mkatabulky"/>
        <w:tblW w:w="10065" w:type="dxa"/>
        <w:tblInd w:w="-572" w:type="dxa"/>
        <w:tblLook w:val="04A0" w:firstRow="1" w:lastRow="0" w:firstColumn="1" w:lastColumn="0" w:noHBand="0" w:noVBand="1"/>
      </w:tblPr>
      <w:tblGrid>
        <w:gridCol w:w="5103"/>
        <w:gridCol w:w="4962"/>
      </w:tblGrid>
      <w:tr w:rsidR="008075E9" w14:paraId="1BBD89E2" w14:textId="77777777" w:rsidTr="009F23CF">
        <w:tc>
          <w:tcPr>
            <w:tcW w:w="510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A8515CE" w14:textId="77777777" w:rsidR="008075E9" w:rsidRDefault="008075E9" w:rsidP="009D6F77">
            <w:pPr>
              <w:jc w:val="center"/>
              <w:rPr>
                <w:b/>
                <w:bCs/>
              </w:rPr>
            </w:pPr>
            <w:r>
              <w:rPr>
                <w:b/>
                <w:bCs/>
              </w:rPr>
              <w:t>Silné stránky</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EA28462" w14:textId="77777777" w:rsidR="008075E9" w:rsidRDefault="008075E9" w:rsidP="009D6F77">
            <w:pPr>
              <w:jc w:val="center"/>
              <w:rPr>
                <w:b/>
                <w:bCs/>
              </w:rPr>
            </w:pPr>
            <w:r>
              <w:rPr>
                <w:b/>
                <w:bCs/>
              </w:rPr>
              <w:t>Slabé stránky</w:t>
            </w:r>
          </w:p>
        </w:tc>
      </w:tr>
      <w:tr w:rsidR="008075E9" w14:paraId="6FDBAA9A" w14:textId="77777777" w:rsidTr="009F23CF">
        <w:trPr>
          <w:trHeight w:val="1221"/>
        </w:trPr>
        <w:tc>
          <w:tcPr>
            <w:tcW w:w="5103" w:type="dxa"/>
            <w:vMerge w:val="restart"/>
            <w:tcBorders>
              <w:top w:val="single" w:sz="4" w:space="0" w:color="auto"/>
              <w:left w:val="single" w:sz="4" w:space="0" w:color="auto"/>
              <w:bottom w:val="single" w:sz="4" w:space="0" w:color="auto"/>
              <w:right w:val="single" w:sz="4" w:space="0" w:color="auto"/>
            </w:tcBorders>
          </w:tcPr>
          <w:p w14:paraId="51302172" w14:textId="4D9B307D" w:rsidR="008075E9" w:rsidRDefault="007C7AFE" w:rsidP="001D658C">
            <w:pPr>
              <w:pStyle w:val="Odstavecseseznamem"/>
              <w:numPr>
                <w:ilvl w:val="0"/>
                <w:numId w:val="15"/>
              </w:numPr>
              <w:suppressAutoHyphens w:val="0"/>
              <w:spacing w:after="0" w:line="240" w:lineRule="auto"/>
              <w:ind w:left="357" w:hanging="357"/>
              <w:contextualSpacing/>
            </w:pPr>
            <w:r>
              <w:t>Přetrvávající stabilní m</w:t>
            </w:r>
            <w:r w:rsidR="00A53AB2">
              <w:t xml:space="preserve">ezigenerační soudržnost </w:t>
            </w:r>
            <w:r w:rsidR="00BE1CB9">
              <w:t>mezi členy rodiny</w:t>
            </w:r>
            <w:r w:rsidR="00C14CFF">
              <w:t>.</w:t>
            </w:r>
            <w:r w:rsidR="00BE1CB9">
              <w:t xml:space="preserve"> </w:t>
            </w:r>
          </w:p>
          <w:p w14:paraId="616D9903" w14:textId="0B0E5C9A" w:rsidR="00305F3F" w:rsidRDefault="00134A6A" w:rsidP="001D658C">
            <w:pPr>
              <w:pStyle w:val="Odstavecseseznamem"/>
              <w:numPr>
                <w:ilvl w:val="0"/>
                <w:numId w:val="15"/>
              </w:numPr>
              <w:suppressAutoHyphens w:val="0"/>
              <w:spacing w:after="0" w:line="240" w:lineRule="auto"/>
              <w:ind w:left="357" w:hanging="357"/>
              <w:contextualSpacing/>
            </w:pPr>
            <w:r>
              <w:t xml:space="preserve">Zvýšení čistých </w:t>
            </w:r>
            <w:r w:rsidR="00305F3F">
              <w:t>roční</w:t>
            </w:r>
            <w:r>
              <w:t xml:space="preserve">ch </w:t>
            </w:r>
            <w:r w:rsidR="00305F3F">
              <w:t>příjm</w:t>
            </w:r>
            <w:r>
              <w:t>ů</w:t>
            </w:r>
            <w:r w:rsidR="00305F3F">
              <w:t xml:space="preserve"> u domácností důchodců </w:t>
            </w:r>
            <w:r>
              <w:t>(</w:t>
            </w:r>
            <w:r w:rsidR="00305F3F">
              <w:t>meziročně v roce 2022 vzrostly o 9 447 Kč</w:t>
            </w:r>
            <w:r>
              <w:t xml:space="preserve">) a posílení finanční stability seniorských domácností. </w:t>
            </w:r>
          </w:p>
          <w:p w14:paraId="5EC298EC" w14:textId="604DA4A0" w:rsidR="004521E9" w:rsidRDefault="004521E9" w:rsidP="001D658C">
            <w:pPr>
              <w:pStyle w:val="Odstavecseseznamem"/>
              <w:numPr>
                <w:ilvl w:val="0"/>
                <w:numId w:val="15"/>
              </w:numPr>
              <w:suppressAutoHyphens w:val="0"/>
              <w:spacing w:after="0" w:line="240" w:lineRule="auto"/>
              <w:ind w:left="357" w:hanging="357"/>
              <w:contextualSpacing/>
            </w:pPr>
            <w:r w:rsidRPr="004521E9">
              <w:t>Počet neformálních pečujících naznačuje každoroční zvyšování.</w:t>
            </w:r>
          </w:p>
          <w:p w14:paraId="1DB17B26" w14:textId="6A38837D" w:rsidR="004521E9" w:rsidRDefault="004521E9" w:rsidP="001D658C">
            <w:pPr>
              <w:pStyle w:val="Odstavecseseznamem"/>
              <w:numPr>
                <w:ilvl w:val="0"/>
                <w:numId w:val="15"/>
              </w:numPr>
              <w:suppressAutoHyphens w:val="0"/>
              <w:spacing w:after="0" w:line="240" w:lineRule="auto"/>
              <w:ind w:left="357" w:hanging="357"/>
              <w:contextualSpacing/>
            </w:pPr>
            <w:r w:rsidRPr="004521E9">
              <w:t>Počet klientů pečovatelské služby zaznamenal meziroční růst.</w:t>
            </w:r>
          </w:p>
          <w:p w14:paraId="15195264" w14:textId="24D37B2D" w:rsidR="00CA567B" w:rsidRDefault="00CA567B" w:rsidP="001D658C">
            <w:pPr>
              <w:pStyle w:val="Odstavecseseznamem"/>
              <w:numPr>
                <w:ilvl w:val="0"/>
                <w:numId w:val="15"/>
              </w:numPr>
              <w:suppressAutoHyphens w:val="0"/>
              <w:spacing w:after="0" w:line="240" w:lineRule="auto"/>
              <w:ind w:left="357" w:hanging="357"/>
              <w:contextualSpacing/>
            </w:pPr>
            <w:r w:rsidRPr="00CA567B">
              <w:t>S rostoucí úrovní dosaženého vzdělání výrazně roste pracovní aktivita seniorů.</w:t>
            </w:r>
          </w:p>
          <w:p w14:paraId="602934C1" w14:textId="35F5B90F" w:rsidR="00CA567B" w:rsidRDefault="004B2AA9" w:rsidP="001D658C">
            <w:pPr>
              <w:pStyle w:val="Odstavecseseznamem"/>
              <w:numPr>
                <w:ilvl w:val="0"/>
                <w:numId w:val="15"/>
              </w:numPr>
              <w:suppressAutoHyphens w:val="0"/>
              <w:spacing w:after="0" w:line="240" w:lineRule="auto"/>
              <w:ind w:left="357" w:hanging="357"/>
              <w:contextualSpacing/>
            </w:pPr>
            <w:r>
              <w:t>Vzrůstající p</w:t>
            </w:r>
            <w:r w:rsidR="004B43BD" w:rsidRPr="004B43BD">
              <w:t xml:space="preserve">odíl aktivně sportující populace </w:t>
            </w:r>
          </w:p>
          <w:p w14:paraId="1998CB75" w14:textId="49BB5BE3" w:rsidR="004B43BD" w:rsidRDefault="004B43BD" w:rsidP="001D658C">
            <w:pPr>
              <w:pStyle w:val="Odstavecseseznamem"/>
              <w:numPr>
                <w:ilvl w:val="0"/>
                <w:numId w:val="15"/>
              </w:numPr>
              <w:suppressAutoHyphens w:val="0"/>
              <w:spacing w:after="0" w:line="240" w:lineRule="auto"/>
              <w:ind w:left="357" w:hanging="357"/>
              <w:contextualSpacing/>
            </w:pPr>
            <w:r>
              <w:t>Přijetí definice EAN Výborem pro práva starších osob Rady vlád pro lidská práva.</w:t>
            </w:r>
          </w:p>
          <w:p w14:paraId="1CBF5D31" w14:textId="60E5AFB8" w:rsidR="00134A6A" w:rsidRDefault="00134A6A" w:rsidP="001D658C">
            <w:pPr>
              <w:pStyle w:val="Odstavecseseznamem"/>
              <w:numPr>
                <w:ilvl w:val="0"/>
                <w:numId w:val="15"/>
              </w:numPr>
              <w:suppressAutoHyphens w:val="0"/>
              <w:spacing w:after="0" w:line="240" w:lineRule="auto"/>
              <w:ind w:left="357" w:hanging="357"/>
              <w:contextualSpacing/>
            </w:pPr>
            <w:r>
              <w:t xml:space="preserve">Nastavená mezioborová a mezirezortní spolupráce v rámci tématu stárnutí. </w:t>
            </w:r>
          </w:p>
          <w:p w14:paraId="33C0EF54" w14:textId="7466F060" w:rsidR="00134A6A" w:rsidRDefault="00134A6A" w:rsidP="001D658C">
            <w:pPr>
              <w:pStyle w:val="Odstavecseseznamem"/>
              <w:numPr>
                <w:ilvl w:val="0"/>
                <w:numId w:val="15"/>
              </w:numPr>
              <w:suppressAutoHyphens w:val="0"/>
              <w:spacing w:after="0" w:line="240" w:lineRule="auto"/>
              <w:ind w:left="357" w:hanging="357"/>
              <w:contextualSpacing/>
            </w:pPr>
          </w:p>
          <w:p w14:paraId="0FB2796B" w14:textId="41032E7A" w:rsidR="00B70F8F" w:rsidRPr="005317EB" w:rsidRDefault="00B70F8F" w:rsidP="00134A6A">
            <w:pPr>
              <w:pStyle w:val="Odstavecseseznamem"/>
              <w:suppressAutoHyphens w:val="0"/>
              <w:spacing w:after="0" w:line="240" w:lineRule="auto"/>
              <w:ind w:left="357"/>
              <w:contextualSpacing/>
              <w:jc w:val="both"/>
            </w:pPr>
          </w:p>
        </w:tc>
        <w:tc>
          <w:tcPr>
            <w:tcW w:w="4962" w:type="dxa"/>
            <w:tcBorders>
              <w:top w:val="single" w:sz="4" w:space="0" w:color="auto"/>
              <w:left w:val="single" w:sz="4" w:space="0" w:color="auto"/>
              <w:bottom w:val="nil"/>
              <w:right w:val="single" w:sz="4" w:space="0" w:color="auto"/>
            </w:tcBorders>
            <w:hideMark/>
          </w:tcPr>
          <w:p w14:paraId="4CE8C2E1" w14:textId="159B0937" w:rsidR="008075E9" w:rsidRPr="00C14CFF" w:rsidRDefault="008075E9" w:rsidP="001D658C">
            <w:pPr>
              <w:pStyle w:val="Odstavecseseznamem"/>
              <w:numPr>
                <w:ilvl w:val="0"/>
                <w:numId w:val="15"/>
              </w:numPr>
              <w:suppressAutoHyphens w:val="0"/>
              <w:spacing w:after="0" w:line="240" w:lineRule="auto"/>
              <w:ind w:left="357" w:hanging="357"/>
              <w:contextualSpacing/>
            </w:pPr>
            <w:r w:rsidRPr="00C14CFF">
              <w:t>Stále nedostatečná nabídka flexibilních forem práce a zkrácených úvazků</w:t>
            </w:r>
            <w:r w:rsidR="00C14CFF" w:rsidRPr="00C14CFF">
              <w:t>.</w:t>
            </w:r>
          </w:p>
          <w:p w14:paraId="75AE3D8A" w14:textId="76C9180F" w:rsidR="00B70F8F" w:rsidRPr="00B70F8F" w:rsidRDefault="00637A63" w:rsidP="001D658C">
            <w:pPr>
              <w:pStyle w:val="Odstavecseseznamem"/>
              <w:numPr>
                <w:ilvl w:val="0"/>
                <w:numId w:val="15"/>
              </w:numPr>
              <w:suppressAutoHyphens w:val="0"/>
              <w:spacing w:after="0" w:line="240" w:lineRule="auto"/>
              <w:ind w:left="357" w:hanging="357"/>
              <w:contextualSpacing/>
            </w:pPr>
            <w:r>
              <w:t xml:space="preserve">Nejistota odchodu do důchodu </w:t>
            </w:r>
          </w:p>
          <w:p w14:paraId="4EDC2DF3" w14:textId="389DF891" w:rsidR="008075E9" w:rsidRPr="001F54C5" w:rsidRDefault="00305F3F" w:rsidP="001D658C">
            <w:pPr>
              <w:pStyle w:val="Odstavecseseznamem"/>
              <w:numPr>
                <w:ilvl w:val="0"/>
                <w:numId w:val="15"/>
              </w:numPr>
              <w:suppressAutoHyphens w:val="0"/>
              <w:spacing w:after="0" w:line="240" w:lineRule="auto"/>
              <w:ind w:left="357" w:hanging="357"/>
              <w:contextualSpacing/>
            </w:pPr>
            <w:r>
              <w:t xml:space="preserve">Úbytek narozených dětí </w:t>
            </w:r>
            <w:r w:rsidR="00134A6A">
              <w:t>(</w:t>
            </w:r>
            <w:r>
              <w:t>v roce 2022 meziročně o 12 tis.</w:t>
            </w:r>
            <w:r w:rsidR="00134A6A">
              <w:t>) a pokles</w:t>
            </w:r>
            <w:r>
              <w:t xml:space="preserve"> průměrného počtu dětí narozené jedné ženě v roce 2022.</w:t>
            </w:r>
          </w:p>
        </w:tc>
      </w:tr>
      <w:tr w:rsidR="008075E9" w14:paraId="6CA2F835" w14:textId="77777777" w:rsidTr="00BE1CB9">
        <w:trPr>
          <w:trHeight w:val="1912"/>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592CC24A" w14:textId="77777777" w:rsidR="008075E9" w:rsidRPr="001F54C5" w:rsidRDefault="008075E9" w:rsidP="009D6F77">
            <w:pPr>
              <w:rPr>
                <w:sz w:val="20"/>
                <w:szCs w:val="20"/>
              </w:rPr>
            </w:pPr>
          </w:p>
        </w:tc>
        <w:tc>
          <w:tcPr>
            <w:tcW w:w="4962" w:type="dxa"/>
            <w:tcBorders>
              <w:top w:val="nil"/>
              <w:left w:val="single" w:sz="4" w:space="0" w:color="auto"/>
              <w:bottom w:val="nil"/>
              <w:right w:val="single" w:sz="4" w:space="0" w:color="auto"/>
            </w:tcBorders>
          </w:tcPr>
          <w:p w14:paraId="0A5F5E71" w14:textId="77777777" w:rsidR="008075E9" w:rsidRDefault="00CA567B" w:rsidP="001D658C">
            <w:pPr>
              <w:pStyle w:val="Odstavecseseznamem"/>
              <w:numPr>
                <w:ilvl w:val="0"/>
                <w:numId w:val="15"/>
              </w:numPr>
              <w:suppressAutoHyphens w:val="0"/>
              <w:spacing w:after="0" w:line="240" w:lineRule="auto"/>
              <w:ind w:left="357" w:hanging="357"/>
              <w:contextualSpacing/>
            </w:pPr>
            <w:r w:rsidRPr="00CA567B">
              <w:t>Nejvyšší podíl na celkovém počtu domácností měla v roce 2022 jednočlenná a dvojčlenná rodina (32,1 %), u domácností důchodců jde o jednočlenné domácnosti (zvýšení na 52,9 %).</w:t>
            </w:r>
          </w:p>
          <w:p w14:paraId="3A04C795" w14:textId="5379DB86" w:rsidR="004B43BD" w:rsidRDefault="004B43BD" w:rsidP="001D658C">
            <w:pPr>
              <w:pStyle w:val="Odstavecseseznamem"/>
              <w:numPr>
                <w:ilvl w:val="0"/>
                <w:numId w:val="15"/>
              </w:numPr>
              <w:suppressAutoHyphens w:val="0"/>
              <w:spacing w:after="0" w:line="240" w:lineRule="auto"/>
              <w:ind w:left="357" w:hanging="357"/>
              <w:contextualSpacing/>
            </w:pPr>
            <w:r w:rsidRPr="004B43BD">
              <w:t xml:space="preserve">Sledování televize odpovídá přibližně 40 % trávení volného času u seniorů nad 65 let, zatímco trávení času s rodinou a přáteli </w:t>
            </w:r>
            <w:proofErr w:type="gramStart"/>
            <w:r w:rsidRPr="004B43BD">
              <w:t>tvoří</w:t>
            </w:r>
            <w:proofErr w:type="gramEnd"/>
            <w:r w:rsidRPr="004B43BD">
              <w:t xml:space="preserve"> asi 10 % celkového objemu volného času.</w:t>
            </w:r>
          </w:p>
          <w:p w14:paraId="04E7889D" w14:textId="654AD219" w:rsidR="00E62D0B" w:rsidRPr="00134A6A" w:rsidRDefault="00134A6A" w:rsidP="001D658C">
            <w:pPr>
              <w:pStyle w:val="Odstavecseseznamem"/>
              <w:numPr>
                <w:ilvl w:val="0"/>
                <w:numId w:val="15"/>
              </w:numPr>
              <w:suppressAutoHyphens w:val="0"/>
              <w:spacing w:after="0" w:line="240" w:lineRule="auto"/>
              <w:ind w:left="357" w:hanging="357"/>
              <w:contextualSpacing/>
              <w:rPr>
                <w:color w:val="000000" w:themeColor="text1"/>
              </w:rPr>
            </w:pPr>
            <w:r w:rsidRPr="00134A6A">
              <w:rPr>
                <w:color w:val="000000" w:themeColor="text1"/>
              </w:rPr>
              <w:t xml:space="preserve">Zvyšující se počet osamělých seniorů z důvodů rozpadů rodin. </w:t>
            </w:r>
          </w:p>
          <w:p w14:paraId="01426ED8" w14:textId="0C2F370B" w:rsidR="004B43BD" w:rsidRPr="001F54C5" w:rsidRDefault="004B43BD" w:rsidP="007D00E4">
            <w:pPr>
              <w:spacing w:after="0" w:line="240" w:lineRule="auto"/>
              <w:contextualSpacing/>
            </w:pPr>
          </w:p>
        </w:tc>
      </w:tr>
      <w:tr w:rsidR="008075E9" w14:paraId="6B4A0519" w14:textId="77777777" w:rsidTr="00BE1CB9">
        <w:trPr>
          <w:trHeight w:val="158"/>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47945A81" w14:textId="77777777" w:rsidR="008075E9" w:rsidRDefault="008075E9" w:rsidP="009D6F77"/>
        </w:tc>
        <w:tc>
          <w:tcPr>
            <w:tcW w:w="4962" w:type="dxa"/>
            <w:tcBorders>
              <w:top w:val="nil"/>
              <w:left w:val="single" w:sz="4" w:space="0" w:color="auto"/>
              <w:bottom w:val="single" w:sz="4" w:space="0" w:color="auto"/>
              <w:right w:val="single" w:sz="4" w:space="0" w:color="auto"/>
            </w:tcBorders>
          </w:tcPr>
          <w:p w14:paraId="7C913FD0" w14:textId="208C422A" w:rsidR="008075E9" w:rsidRPr="00095953" w:rsidRDefault="008075E9" w:rsidP="007D00E4">
            <w:pPr>
              <w:spacing w:after="0" w:line="240" w:lineRule="auto"/>
              <w:contextualSpacing/>
            </w:pPr>
          </w:p>
        </w:tc>
      </w:tr>
      <w:tr w:rsidR="008075E9" w14:paraId="58CFEEEC" w14:textId="77777777" w:rsidTr="009D6F77">
        <w:trPr>
          <w:trHeight w:val="50"/>
        </w:trPr>
        <w:tc>
          <w:tcPr>
            <w:tcW w:w="510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1B277B6" w14:textId="77777777" w:rsidR="008075E9" w:rsidRDefault="008075E9" w:rsidP="009D6F77">
            <w:pPr>
              <w:jc w:val="center"/>
              <w:rPr>
                <w:b/>
                <w:bCs/>
              </w:rPr>
            </w:pPr>
            <w:r>
              <w:rPr>
                <w:b/>
                <w:bCs/>
              </w:rPr>
              <w:t>Příležitosti</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A73CB0" w14:textId="77777777" w:rsidR="008075E9" w:rsidRDefault="008075E9" w:rsidP="009D6F77">
            <w:pPr>
              <w:jc w:val="center"/>
              <w:rPr>
                <w:b/>
                <w:bCs/>
              </w:rPr>
            </w:pPr>
            <w:r>
              <w:rPr>
                <w:b/>
                <w:bCs/>
              </w:rPr>
              <w:t>Hrozby</w:t>
            </w:r>
          </w:p>
        </w:tc>
      </w:tr>
      <w:tr w:rsidR="008075E9" w14:paraId="6D430371" w14:textId="77777777" w:rsidTr="009D6F77">
        <w:trPr>
          <w:trHeight w:val="1058"/>
        </w:trPr>
        <w:tc>
          <w:tcPr>
            <w:tcW w:w="5103" w:type="dxa"/>
            <w:tcBorders>
              <w:top w:val="single" w:sz="4" w:space="0" w:color="auto"/>
              <w:left w:val="single" w:sz="4" w:space="0" w:color="auto"/>
              <w:bottom w:val="single" w:sz="4" w:space="0" w:color="auto"/>
              <w:right w:val="single" w:sz="4" w:space="0" w:color="auto"/>
            </w:tcBorders>
          </w:tcPr>
          <w:p w14:paraId="3C0DBC69" w14:textId="5F1ABFE3" w:rsidR="00BE1CB9" w:rsidRPr="0081713E" w:rsidRDefault="00BE1CB9" w:rsidP="001D658C">
            <w:pPr>
              <w:pStyle w:val="Odstavecseseznamem"/>
              <w:numPr>
                <w:ilvl w:val="0"/>
                <w:numId w:val="15"/>
              </w:numPr>
              <w:suppressAutoHyphens w:val="0"/>
              <w:spacing w:after="0" w:line="240" w:lineRule="auto"/>
              <w:ind w:left="357" w:hanging="357"/>
              <w:contextualSpacing/>
            </w:pPr>
            <w:r>
              <w:t>Zapojení seniorů do společnosti či do komunity</w:t>
            </w:r>
            <w:r w:rsidR="00C14CFF">
              <w:t>.</w:t>
            </w:r>
            <w:r>
              <w:t xml:space="preserve"> </w:t>
            </w:r>
          </w:p>
          <w:p w14:paraId="11036E03" w14:textId="77777777" w:rsidR="008075E9" w:rsidRDefault="00BE1CB9" w:rsidP="001D658C">
            <w:pPr>
              <w:pStyle w:val="Odstavecseseznamem"/>
              <w:numPr>
                <w:ilvl w:val="0"/>
                <w:numId w:val="15"/>
              </w:numPr>
              <w:suppressAutoHyphens w:val="0"/>
              <w:spacing w:after="0" w:line="240" w:lineRule="auto"/>
              <w:ind w:left="357" w:hanging="357"/>
              <w:contextualSpacing/>
            </w:pPr>
            <w:r>
              <w:t>Heterogenita seniorské populace</w:t>
            </w:r>
            <w:r w:rsidR="00C14CFF">
              <w:t>.</w:t>
            </w:r>
          </w:p>
          <w:p w14:paraId="407186CB" w14:textId="77777777" w:rsidR="00C14CFF" w:rsidRDefault="00C14CFF" w:rsidP="001D658C">
            <w:pPr>
              <w:pStyle w:val="Odstavecseseznamem"/>
              <w:numPr>
                <w:ilvl w:val="0"/>
                <w:numId w:val="15"/>
              </w:numPr>
              <w:suppressAutoHyphens w:val="0"/>
              <w:spacing w:after="0" w:line="240" w:lineRule="auto"/>
              <w:ind w:left="357" w:hanging="357"/>
              <w:contextualSpacing/>
            </w:pPr>
            <w:r>
              <w:t>Prostor pro uplatnění dlouhodobě získaných zkušeností a znalostí k růstu lidského kapitálu ve společnosti.</w:t>
            </w:r>
          </w:p>
          <w:p w14:paraId="6570FE65" w14:textId="4B253688" w:rsidR="00B70F8F" w:rsidRDefault="00B70F8F" w:rsidP="001D658C">
            <w:pPr>
              <w:pStyle w:val="Odstavecseseznamem"/>
              <w:numPr>
                <w:ilvl w:val="0"/>
                <w:numId w:val="15"/>
              </w:numPr>
              <w:suppressAutoHyphens w:val="0"/>
              <w:spacing w:after="0" w:line="240" w:lineRule="auto"/>
              <w:ind w:left="357" w:hanging="357"/>
              <w:contextualSpacing/>
            </w:pPr>
            <w:r w:rsidRPr="00B70F8F">
              <w:t xml:space="preserve">Naděje dožití při narození u žen v roce </w:t>
            </w:r>
            <w:r>
              <w:t xml:space="preserve">2022 </w:t>
            </w:r>
            <w:r w:rsidRPr="00B70F8F">
              <w:t>opět činil</w:t>
            </w:r>
            <w:r w:rsidR="004B43BD">
              <w:t>a</w:t>
            </w:r>
            <w:r w:rsidRPr="00B70F8F">
              <w:t xml:space="preserve"> u žen 82,0 let a u mužů 76,1 let.</w:t>
            </w:r>
          </w:p>
          <w:p w14:paraId="3B76701C" w14:textId="17F1BD54" w:rsidR="00305F3F" w:rsidRDefault="00134A6A" w:rsidP="001D658C">
            <w:pPr>
              <w:pStyle w:val="Odstavecseseznamem"/>
              <w:numPr>
                <w:ilvl w:val="0"/>
                <w:numId w:val="15"/>
              </w:numPr>
              <w:suppressAutoHyphens w:val="0"/>
              <w:spacing w:after="0" w:line="240" w:lineRule="auto"/>
              <w:ind w:left="357" w:hanging="357"/>
              <w:contextualSpacing/>
            </w:pPr>
            <w:r>
              <w:t xml:space="preserve">Zlepšení zdravotního stavu seniorů. </w:t>
            </w:r>
          </w:p>
          <w:p w14:paraId="7FDC6B25" w14:textId="35A7EE31" w:rsidR="00305F3F" w:rsidRDefault="00305F3F" w:rsidP="001D658C">
            <w:pPr>
              <w:pStyle w:val="Odstavecseseznamem"/>
              <w:numPr>
                <w:ilvl w:val="0"/>
                <w:numId w:val="15"/>
              </w:numPr>
              <w:suppressAutoHyphens w:val="0"/>
              <w:spacing w:after="0" w:line="240" w:lineRule="auto"/>
              <w:ind w:left="357" w:hanging="357"/>
              <w:contextualSpacing/>
            </w:pPr>
            <w:r>
              <w:t xml:space="preserve">Vytváření podmínek pro </w:t>
            </w:r>
            <w:r w:rsidR="00134A6A">
              <w:t xml:space="preserve">aktivní život v místní komunitě prostřednictvím přizpůsobení infrastruktury. </w:t>
            </w:r>
            <w:r>
              <w:t xml:space="preserve"> občanskou angažovanost a dobrovolnictví státem.</w:t>
            </w:r>
          </w:p>
          <w:p w14:paraId="7809DE22" w14:textId="51CBB36B" w:rsidR="00305F3F" w:rsidRDefault="00305F3F" w:rsidP="001D658C">
            <w:pPr>
              <w:pStyle w:val="Odstavecseseznamem"/>
              <w:numPr>
                <w:ilvl w:val="0"/>
                <w:numId w:val="15"/>
              </w:numPr>
              <w:suppressAutoHyphens w:val="0"/>
              <w:spacing w:after="0" w:line="240" w:lineRule="auto"/>
              <w:ind w:left="357" w:hanging="357"/>
              <w:contextualSpacing/>
            </w:pPr>
            <w:r>
              <w:t>Podpora porodnosti a stability</w:t>
            </w:r>
            <w:r w:rsidR="00134A6A">
              <w:t xml:space="preserve"> rodin </w:t>
            </w:r>
            <w:r>
              <w:t>např. prostřednictvím veřejných služeb</w:t>
            </w:r>
            <w:r w:rsidR="00134A6A">
              <w:t>, strategických materiálů apod</w:t>
            </w:r>
            <w:r>
              <w:t>.</w:t>
            </w:r>
          </w:p>
          <w:p w14:paraId="40D4B8CB" w14:textId="77777777" w:rsidR="007D00E4" w:rsidRDefault="004521E9" w:rsidP="001D658C">
            <w:pPr>
              <w:pStyle w:val="Odstavecseseznamem"/>
              <w:numPr>
                <w:ilvl w:val="0"/>
                <w:numId w:val="15"/>
              </w:numPr>
              <w:suppressAutoHyphens w:val="0"/>
              <w:spacing w:after="0" w:line="240" w:lineRule="auto"/>
              <w:ind w:left="357" w:hanging="357"/>
              <w:contextualSpacing/>
            </w:pPr>
            <w:r w:rsidRPr="004521E9">
              <w:lastRenderedPageBreak/>
              <w:t>Drtivá většina lidí preferuje zůstat co nejdéle v domácím prostředí</w:t>
            </w:r>
            <w:r>
              <w:t>.</w:t>
            </w:r>
          </w:p>
          <w:p w14:paraId="526FE5D9" w14:textId="02DC262E" w:rsidR="004B43BD" w:rsidRDefault="00134A6A" w:rsidP="001D658C">
            <w:pPr>
              <w:pStyle w:val="Odstavecseseznamem"/>
              <w:numPr>
                <w:ilvl w:val="0"/>
                <w:numId w:val="15"/>
              </w:numPr>
              <w:suppressAutoHyphens w:val="0"/>
              <w:spacing w:after="0" w:line="240" w:lineRule="auto"/>
              <w:ind w:left="357" w:hanging="357"/>
              <w:contextualSpacing/>
            </w:pPr>
            <w:r>
              <w:t xml:space="preserve">Zvýšení dostupnosti služeb i ve venkovských a odlehlých oblastech. </w:t>
            </w:r>
          </w:p>
          <w:p w14:paraId="3FDA42A5" w14:textId="3655C3B9" w:rsidR="00E62D0B" w:rsidRPr="0081713E" w:rsidRDefault="00E52225" w:rsidP="001D658C">
            <w:pPr>
              <w:pStyle w:val="Odstavecseseznamem"/>
              <w:numPr>
                <w:ilvl w:val="0"/>
                <w:numId w:val="15"/>
              </w:numPr>
              <w:suppressAutoHyphens w:val="0"/>
              <w:spacing w:after="0" w:line="240" w:lineRule="auto"/>
              <w:ind w:left="357" w:hanging="357"/>
              <w:contextualSpacing/>
            </w:pPr>
            <w:r w:rsidRPr="00E52225">
              <w:rPr>
                <w:color w:val="000000" w:themeColor="text1"/>
              </w:rPr>
              <w:t xml:space="preserve">Učení se z dobré praxe na lokální i mezinárodní úrovni. </w:t>
            </w:r>
          </w:p>
        </w:tc>
        <w:tc>
          <w:tcPr>
            <w:tcW w:w="4962" w:type="dxa"/>
            <w:tcBorders>
              <w:top w:val="single" w:sz="4" w:space="0" w:color="auto"/>
              <w:left w:val="single" w:sz="4" w:space="0" w:color="auto"/>
              <w:bottom w:val="single" w:sz="4" w:space="0" w:color="auto"/>
              <w:right w:val="single" w:sz="4" w:space="0" w:color="auto"/>
            </w:tcBorders>
          </w:tcPr>
          <w:p w14:paraId="28119F39" w14:textId="20A9B22D" w:rsidR="00BE1CB9" w:rsidRDefault="00134A6A" w:rsidP="001D658C">
            <w:pPr>
              <w:pStyle w:val="Odstavecseseznamem"/>
              <w:numPr>
                <w:ilvl w:val="0"/>
                <w:numId w:val="15"/>
              </w:numPr>
              <w:suppressAutoHyphens w:val="0"/>
              <w:spacing w:after="0" w:line="240" w:lineRule="auto"/>
              <w:ind w:left="357" w:hanging="357"/>
              <w:contextualSpacing/>
            </w:pPr>
            <w:r>
              <w:lastRenderedPageBreak/>
              <w:t>Zvyšující se podíl osob starších v </w:t>
            </w:r>
            <w:proofErr w:type="gramStart"/>
            <w:r>
              <w:t xml:space="preserve">populaci - </w:t>
            </w:r>
            <w:r w:rsidR="00BE1CB9" w:rsidRPr="00BE1CB9">
              <w:t>V</w:t>
            </w:r>
            <w:proofErr w:type="gramEnd"/>
            <w:r w:rsidR="00BE1CB9" w:rsidRPr="00BE1CB9">
              <w:t xml:space="preserve"> roce 2022 bylo ve věkové kategorii 65+ více než 20 % obyvatel, v roce 2025 to bude 22,3 % a v roce 2050 již 29 % (téměř každý třetí)</w:t>
            </w:r>
            <w:r w:rsidR="00C14CFF">
              <w:t>.</w:t>
            </w:r>
          </w:p>
          <w:p w14:paraId="757018B2" w14:textId="3B2E85AE" w:rsidR="00C14CFF" w:rsidRDefault="00C14CFF" w:rsidP="001D658C">
            <w:pPr>
              <w:pStyle w:val="Odstavecseseznamem"/>
              <w:numPr>
                <w:ilvl w:val="0"/>
                <w:numId w:val="15"/>
              </w:numPr>
              <w:suppressAutoHyphens w:val="0"/>
              <w:spacing w:after="0" w:line="240" w:lineRule="auto"/>
              <w:ind w:left="357" w:hanging="357"/>
              <w:contextualSpacing/>
            </w:pPr>
            <w:r>
              <w:t xml:space="preserve">Stále </w:t>
            </w:r>
            <w:r w:rsidR="00134A6A">
              <w:t xml:space="preserve">se </w:t>
            </w:r>
            <w:r>
              <w:t>měnící požadavky na dovednosti.</w:t>
            </w:r>
          </w:p>
          <w:p w14:paraId="0A457DAB" w14:textId="02096E7C" w:rsidR="00C14CFF" w:rsidRDefault="00C14CFF" w:rsidP="001D658C">
            <w:pPr>
              <w:pStyle w:val="Odstavecseseznamem"/>
              <w:numPr>
                <w:ilvl w:val="0"/>
                <w:numId w:val="15"/>
              </w:numPr>
              <w:suppressAutoHyphens w:val="0"/>
              <w:spacing w:after="0" w:line="240" w:lineRule="auto"/>
              <w:ind w:left="357" w:hanging="357"/>
              <w:contextualSpacing/>
            </w:pPr>
            <w:r>
              <w:t>Nárůst nejistot spojených s novými megatrendy.</w:t>
            </w:r>
          </w:p>
          <w:p w14:paraId="1E822407" w14:textId="77777777" w:rsidR="00B70F8F" w:rsidRDefault="00B70F8F" w:rsidP="001D658C">
            <w:pPr>
              <w:pStyle w:val="Odstavecseseznamem"/>
              <w:numPr>
                <w:ilvl w:val="0"/>
                <w:numId w:val="15"/>
              </w:numPr>
              <w:suppressAutoHyphens w:val="0"/>
              <w:spacing w:after="0" w:line="240" w:lineRule="auto"/>
              <w:ind w:left="357" w:hanging="357"/>
              <w:contextualSpacing/>
            </w:pPr>
            <w:r>
              <w:t>Proměna věkové struktury společnosti a její dopad na její uspořádání a život v ní (posun a opakování některých fází).</w:t>
            </w:r>
          </w:p>
          <w:p w14:paraId="7187F33D" w14:textId="64850F39" w:rsidR="00BE1CB9" w:rsidRDefault="00B70F8F" w:rsidP="001D658C">
            <w:pPr>
              <w:pStyle w:val="Odstavecseseznamem"/>
              <w:numPr>
                <w:ilvl w:val="0"/>
                <w:numId w:val="15"/>
              </w:numPr>
              <w:suppressAutoHyphens w:val="0"/>
              <w:spacing w:after="0" w:line="240" w:lineRule="auto"/>
              <w:ind w:left="357" w:hanging="357"/>
              <w:contextualSpacing/>
            </w:pPr>
            <w:r>
              <w:t xml:space="preserve">Prohloubení stávajících nerovností v podobě odlišné délky dožití nebo kvalitě stáří. </w:t>
            </w:r>
          </w:p>
          <w:p w14:paraId="6A6AD25C" w14:textId="77777777" w:rsidR="008075E9" w:rsidRDefault="00305F3F" w:rsidP="001D658C">
            <w:pPr>
              <w:pStyle w:val="Odstavecseseznamem"/>
              <w:numPr>
                <w:ilvl w:val="0"/>
                <w:numId w:val="15"/>
              </w:numPr>
              <w:suppressAutoHyphens w:val="0"/>
              <w:spacing w:after="0" w:line="240" w:lineRule="auto"/>
              <w:ind w:left="357" w:hanging="357"/>
              <w:contextualSpacing/>
            </w:pPr>
            <w:r w:rsidRPr="00305F3F">
              <w:t>Rozdíl mezi průměrným důchodem mužů a žen se v roce 2022 zvýšil na cca 18 %.</w:t>
            </w:r>
          </w:p>
          <w:p w14:paraId="7229E130" w14:textId="77777777" w:rsidR="004521E9" w:rsidRDefault="004521E9" w:rsidP="001D658C">
            <w:pPr>
              <w:pStyle w:val="Odstavecseseznamem"/>
              <w:numPr>
                <w:ilvl w:val="0"/>
                <w:numId w:val="15"/>
              </w:numPr>
              <w:suppressAutoHyphens w:val="0"/>
              <w:spacing w:after="0" w:line="240" w:lineRule="auto"/>
              <w:ind w:left="357" w:hanging="357"/>
              <w:contextualSpacing/>
            </w:pPr>
            <w:r w:rsidRPr="004521E9">
              <w:lastRenderedPageBreak/>
              <w:t>Riziko ohrožení chudobou osob, jejichž hlavním zdrojem příjmu je starobní důchod, se v roce 2022 zvýšilo na 16,7 %.</w:t>
            </w:r>
          </w:p>
          <w:p w14:paraId="6485D991" w14:textId="7CE7C7E6" w:rsidR="004521E9" w:rsidRDefault="00134A6A" w:rsidP="001D658C">
            <w:pPr>
              <w:pStyle w:val="Odstavecseseznamem"/>
              <w:numPr>
                <w:ilvl w:val="0"/>
                <w:numId w:val="15"/>
              </w:numPr>
              <w:suppressAutoHyphens w:val="0"/>
              <w:spacing w:after="0" w:line="240" w:lineRule="auto"/>
              <w:ind w:left="357" w:hanging="357"/>
              <w:contextualSpacing/>
            </w:pPr>
            <w:r>
              <w:t xml:space="preserve">Nedostatek vhodného a dostupného bydlení pro seniory  </w:t>
            </w:r>
          </w:p>
          <w:p w14:paraId="1525FC0C" w14:textId="381F76D6" w:rsidR="004B43BD" w:rsidRPr="00560CA5" w:rsidRDefault="00E52225" w:rsidP="001D658C">
            <w:pPr>
              <w:pStyle w:val="Odstavecseseznamem"/>
              <w:numPr>
                <w:ilvl w:val="0"/>
                <w:numId w:val="15"/>
              </w:numPr>
              <w:suppressAutoHyphens w:val="0"/>
              <w:spacing w:after="0" w:line="240" w:lineRule="auto"/>
              <w:ind w:left="357" w:hanging="357"/>
              <w:contextualSpacing/>
            </w:pPr>
            <w:r>
              <w:t xml:space="preserve">Snižující se výdaje do sociální a zdravotní </w:t>
            </w:r>
            <w:proofErr w:type="gramStart"/>
            <w:r>
              <w:t xml:space="preserve">oblasti - </w:t>
            </w:r>
            <w:r w:rsidR="004521E9" w:rsidRPr="004521E9">
              <w:t>V</w:t>
            </w:r>
            <w:proofErr w:type="gramEnd"/>
            <w:r w:rsidR="004521E9" w:rsidRPr="004521E9">
              <w:t> roce 2019 činila částka vynaložená na sociální a zdravotní výdaje cca 18 % HDP, v roce 2021</w:t>
            </w:r>
            <w:r>
              <w:t xml:space="preserve"> </w:t>
            </w:r>
            <w:r w:rsidR="004521E9" w:rsidRPr="004521E9">
              <w:t>to bylo 13 %.</w:t>
            </w:r>
          </w:p>
        </w:tc>
      </w:tr>
    </w:tbl>
    <w:p w14:paraId="0A2BD8B9" w14:textId="77777777" w:rsidR="00B70F8F" w:rsidRPr="00B70F8F" w:rsidRDefault="00B70F8F" w:rsidP="00B70F8F"/>
    <w:p w14:paraId="0ED249BB" w14:textId="7365E014" w:rsidR="00571B5E" w:rsidRDefault="00571B5E" w:rsidP="00F002C1">
      <w:pPr>
        <w:spacing w:after="160" w:line="259" w:lineRule="auto"/>
        <w:rPr>
          <w:rFonts w:ascii="Arial" w:hAnsi="Arial" w:cs="Arial"/>
          <w:sz w:val="24"/>
          <w:szCs w:val="24"/>
        </w:rPr>
      </w:pPr>
    </w:p>
    <w:p w14:paraId="26525115" w14:textId="3EFD692C" w:rsidR="00571B5E" w:rsidRDefault="00571B5E" w:rsidP="00F002C1">
      <w:pPr>
        <w:spacing w:after="160" w:line="259" w:lineRule="auto"/>
        <w:rPr>
          <w:rFonts w:ascii="Arial" w:hAnsi="Arial" w:cs="Arial"/>
          <w:sz w:val="24"/>
          <w:szCs w:val="24"/>
        </w:rPr>
      </w:pPr>
    </w:p>
    <w:p w14:paraId="1AB88EF5" w14:textId="35511BE8" w:rsidR="00571B5E" w:rsidRDefault="00571B5E" w:rsidP="00F002C1">
      <w:pPr>
        <w:spacing w:after="160" w:line="259" w:lineRule="auto"/>
        <w:rPr>
          <w:rFonts w:ascii="Arial" w:hAnsi="Arial" w:cs="Arial"/>
          <w:sz w:val="24"/>
          <w:szCs w:val="24"/>
        </w:rPr>
      </w:pPr>
    </w:p>
    <w:p w14:paraId="03A85107" w14:textId="6B39206E" w:rsidR="00571B5E" w:rsidRDefault="00571B5E" w:rsidP="00F002C1">
      <w:pPr>
        <w:spacing w:after="160" w:line="259" w:lineRule="auto"/>
        <w:rPr>
          <w:rFonts w:ascii="Arial" w:hAnsi="Arial" w:cs="Arial"/>
          <w:sz w:val="24"/>
          <w:szCs w:val="24"/>
        </w:rPr>
      </w:pPr>
    </w:p>
    <w:p w14:paraId="099E0038" w14:textId="0D7B1952" w:rsidR="00571B5E" w:rsidRDefault="00571B5E" w:rsidP="00F002C1">
      <w:pPr>
        <w:spacing w:after="160" w:line="259" w:lineRule="auto"/>
        <w:rPr>
          <w:rFonts w:ascii="Arial" w:hAnsi="Arial" w:cs="Arial"/>
          <w:sz w:val="24"/>
          <w:szCs w:val="24"/>
        </w:rPr>
      </w:pPr>
    </w:p>
    <w:p w14:paraId="46872260" w14:textId="493E9092" w:rsidR="00571B5E" w:rsidRDefault="00571B5E" w:rsidP="00F002C1">
      <w:pPr>
        <w:spacing w:after="160" w:line="259" w:lineRule="auto"/>
        <w:rPr>
          <w:rFonts w:ascii="Arial" w:hAnsi="Arial" w:cs="Arial"/>
          <w:sz w:val="24"/>
          <w:szCs w:val="24"/>
        </w:rPr>
      </w:pPr>
    </w:p>
    <w:p w14:paraId="003D06C3" w14:textId="40391286" w:rsidR="00571B5E" w:rsidRDefault="00571B5E" w:rsidP="00F002C1">
      <w:pPr>
        <w:spacing w:after="160" w:line="259" w:lineRule="auto"/>
        <w:rPr>
          <w:rFonts w:ascii="Arial" w:hAnsi="Arial" w:cs="Arial"/>
          <w:sz w:val="24"/>
          <w:szCs w:val="24"/>
        </w:rPr>
      </w:pPr>
    </w:p>
    <w:p w14:paraId="6888748C" w14:textId="55EC0D3A" w:rsidR="00571B5E" w:rsidRDefault="00571B5E" w:rsidP="00F002C1">
      <w:pPr>
        <w:spacing w:after="160" w:line="259" w:lineRule="auto"/>
        <w:rPr>
          <w:rFonts w:ascii="Arial" w:hAnsi="Arial" w:cs="Arial"/>
          <w:sz w:val="24"/>
          <w:szCs w:val="24"/>
        </w:rPr>
      </w:pPr>
    </w:p>
    <w:p w14:paraId="5BC45943" w14:textId="16A14E76" w:rsidR="00571B5E" w:rsidRDefault="00571B5E" w:rsidP="00F002C1">
      <w:pPr>
        <w:spacing w:after="160" w:line="259" w:lineRule="auto"/>
        <w:rPr>
          <w:rFonts w:ascii="Arial" w:hAnsi="Arial" w:cs="Arial"/>
          <w:sz w:val="24"/>
          <w:szCs w:val="24"/>
        </w:rPr>
      </w:pPr>
    </w:p>
    <w:p w14:paraId="454BC6A7" w14:textId="0710E0F1" w:rsidR="00571B5E" w:rsidRDefault="00571B5E" w:rsidP="00F002C1">
      <w:pPr>
        <w:spacing w:after="160" w:line="259" w:lineRule="auto"/>
        <w:rPr>
          <w:rFonts w:ascii="Arial" w:hAnsi="Arial" w:cs="Arial"/>
          <w:sz w:val="24"/>
          <w:szCs w:val="24"/>
        </w:rPr>
      </w:pPr>
    </w:p>
    <w:p w14:paraId="2D924316" w14:textId="5F246C0C" w:rsidR="00571B5E" w:rsidRDefault="00571B5E" w:rsidP="00F002C1">
      <w:pPr>
        <w:spacing w:after="160" w:line="259" w:lineRule="auto"/>
        <w:rPr>
          <w:rFonts w:ascii="Arial" w:hAnsi="Arial" w:cs="Arial"/>
          <w:sz w:val="24"/>
          <w:szCs w:val="24"/>
        </w:rPr>
      </w:pPr>
    </w:p>
    <w:p w14:paraId="1351E606" w14:textId="47F2299A" w:rsidR="00571B5E" w:rsidRDefault="00571B5E" w:rsidP="00F002C1">
      <w:pPr>
        <w:spacing w:after="160" w:line="259" w:lineRule="auto"/>
        <w:rPr>
          <w:rFonts w:ascii="Arial" w:hAnsi="Arial" w:cs="Arial"/>
          <w:sz w:val="24"/>
          <w:szCs w:val="24"/>
        </w:rPr>
      </w:pPr>
    </w:p>
    <w:p w14:paraId="3032E658" w14:textId="2BBB78F0" w:rsidR="00571B5E" w:rsidRDefault="00571B5E" w:rsidP="00F002C1">
      <w:pPr>
        <w:spacing w:after="160" w:line="259" w:lineRule="auto"/>
        <w:rPr>
          <w:rFonts w:ascii="Arial" w:hAnsi="Arial" w:cs="Arial"/>
          <w:sz w:val="24"/>
          <w:szCs w:val="24"/>
        </w:rPr>
      </w:pPr>
    </w:p>
    <w:p w14:paraId="521B6727" w14:textId="00512674" w:rsidR="00571B5E" w:rsidRDefault="00571B5E" w:rsidP="00F002C1">
      <w:pPr>
        <w:spacing w:after="160" w:line="259" w:lineRule="auto"/>
        <w:rPr>
          <w:rFonts w:ascii="Arial" w:hAnsi="Arial" w:cs="Arial"/>
          <w:sz w:val="24"/>
          <w:szCs w:val="24"/>
        </w:rPr>
      </w:pPr>
    </w:p>
    <w:p w14:paraId="443CD71A" w14:textId="6D14EBAB" w:rsidR="00571B5E" w:rsidRDefault="00571B5E" w:rsidP="00F002C1">
      <w:pPr>
        <w:spacing w:after="160" w:line="259" w:lineRule="auto"/>
        <w:rPr>
          <w:rFonts w:ascii="Arial" w:hAnsi="Arial" w:cs="Arial"/>
          <w:sz w:val="24"/>
          <w:szCs w:val="24"/>
        </w:rPr>
      </w:pPr>
    </w:p>
    <w:p w14:paraId="56A1E493" w14:textId="1BCAB325" w:rsidR="00571B5E" w:rsidRDefault="00571B5E" w:rsidP="00F002C1">
      <w:pPr>
        <w:spacing w:after="160" w:line="259" w:lineRule="auto"/>
        <w:rPr>
          <w:rFonts w:ascii="Arial" w:hAnsi="Arial" w:cs="Arial"/>
          <w:sz w:val="24"/>
          <w:szCs w:val="24"/>
        </w:rPr>
      </w:pPr>
    </w:p>
    <w:p w14:paraId="4A4760D1" w14:textId="2F5A0B9E" w:rsidR="00571B5E" w:rsidRDefault="00571B5E" w:rsidP="00F002C1">
      <w:pPr>
        <w:spacing w:after="160" w:line="259" w:lineRule="auto"/>
        <w:rPr>
          <w:rFonts w:ascii="Arial" w:hAnsi="Arial" w:cs="Arial"/>
          <w:sz w:val="24"/>
          <w:szCs w:val="24"/>
        </w:rPr>
      </w:pPr>
    </w:p>
    <w:p w14:paraId="2C7C7023" w14:textId="3CE6A9FC" w:rsidR="00571B5E" w:rsidRDefault="00571B5E" w:rsidP="00F002C1">
      <w:pPr>
        <w:spacing w:after="160" w:line="259" w:lineRule="auto"/>
        <w:rPr>
          <w:rFonts w:ascii="Arial" w:hAnsi="Arial" w:cs="Arial"/>
          <w:sz w:val="24"/>
          <w:szCs w:val="24"/>
        </w:rPr>
      </w:pPr>
    </w:p>
    <w:p w14:paraId="7813F605" w14:textId="30D216FA" w:rsidR="00571B5E" w:rsidRDefault="00571B5E" w:rsidP="00F002C1">
      <w:pPr>
        <w:spacing w:after="160" w:line="259" w:lineRule="auto"/>
        <w:rPr>
          <w:rFonts w:ascii="Arial" w:hAnsi="Arial" w:cs="Arial"/>
          <w:sz w:val="24"/>
          <w:szCs w:val="24"/>
        </w:rPr>
      </w:pPr>
    </w:p>
    <w:p w14:paraId="06C843B9" w14:textId="4BDACDF3" w:rsidR="00571B5E" w:rsidRDefault="00571B5E" w:rsidP="00F002C1">
      <w:pPr>
        <w:spacing w:after="160" w:line="259" w:lineRule="auto"/>
        <w:rPr>
          <w:rFonts w:ascii="Arial" w:hAnsi="Arial" w:cs="Arial"/>
          <w:sz w:val="24"/>
          <w:szCs w:val="24"/>
        </w:rPr>
      </w:pPr>
    </w:p>
    <w:p w14:paraId="241BB088" w14:textId="55500F4C" w:rsidR="00571B5E" w:rsidRDefault="00571B5E" w:rsidP="00F002C1">
      <w:pPr>
        <w:spacing w:after="160" w:line="259" w:lineRule="auto"/>
        <w:rPr>
          <w:rFonts w:ascii="Arial" w:hAnsi="Arial" w:cs="Arial"/>
          <w:sz w:val="24"/>
          <w:szCs w:val="24"/>
        </w:rPr>
      </w:pPr>
    </w:p>
    <w:p w14:paraId="7B67B1CB" w14:textId="541CBB1F" w:rsidR="00571B5E" w:rsidRDefault="00571B5E" w:rsidP="00F002C1">
      <w:pPr>
        <w:spacing w:after="160" w:line="259" w:lineRule="auto"/>
        <w:rPr>
          <w:rFonts w:ascii="Arial" w:hAnsi="Arial" w:cs="Arial"/>
          <w:sz w:val="24"/>
          <w:szCs w:val="24"/>
        </w:rPr>
      </w:pPr>
    </w:p>
    <w:p w14:paraId="6D437032" w14:textId="4F34297F" w:rsidR="00571B5E" w:rsidRDefault="00571B5E" w:rsidP="00F002C1">
      <w:pPr>
        <w:spacing w:after="160" w:line="259" w:lineRule="auto"/>
        <w:rPr>
          <w:rFonts w:ascii="Arial" w:hAnsi="Arial" w:cs="Arial"/>
          <w:sz w:val="24"/>
          <w:szCs w:val="24"/>
        </w:rPr>
      </w:pPr>
    </w:p>
    <w:p w14:paraId="1F28C661" w14:textId="77777777" w:rsidR="00571B5E" w:rsidRDefault="00571B5E" w:rsidP="00F002C1">
      <w:pPr>
        <w:spacing w:after="160" w:line="259" w:lineRule="auto"/>
        <w:rPr>
          <w:rFonts w:ascii="Arial" w:hAnsi="Arial" w:cs="Arial"/>
          <w:sz w:val="24"/>
          <w:szCs w:val="24"/>
        </w:rPr>
      </w:pPr>
    </w:p>
    <w:sectPr w:rsidR="00571B5E" w:rsidSect="00D9353C">
      <w:footerReference w:type="default" r:id="rId17"/>
      <w:endnotePr>
        <w:numFmt w:val="decimal"/>
      </w:end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D747" w14:textId="77777777" w:rsidR="003B1B01" w:rsidRDefault="003B1B01" w:rsidP="003D131F">
      <w:pPr>
        <w:spacing w:after="0" w:line="240" w:lineRule="auto"/>
      </w:pPr>
      <w:r>
        <w:separator/>
      </w:r>
    </w:p>
  </w:endnote>
  <w:endnote w:type="continuationSeparator" w:id="0">
    <w:p w14:paraId="15D32A14" w14:textId="77777777" w:rsidR="003B1B01" w:rsidRDefault="003B1B01" w:rsidP="003D131F">
      <w:pPr>
        <w:spacing w:after="0" w:line="240" w:lineRule="auto"/>
      </w:pPr>
      <w:r>
        <w:continuationSeparator/>
      </w:r>
    </w:p>
  </w:endnote>
  <w:endnote w:type="continuationNotice" w:id="1">
    <w:p w14:paraId="21E63C68" w14:textId="77777777" w:rsidR="003B1B01" w:rsidRDefault="003B1B01">
      <w:pPr>
        <w:spacing w:after="0" w:line="240" w:lineRule="auto"/>
      </w:pPr>
    </w:p>
  </w:endnote>
  <w:endnote w:id="2">
    <w:p w14:paraId="451D0E7C" w14:textId="77777777" w:rsidR="008D6DD3" w:rsidRPr="00072300" w:rsidRDefault="008D6DD3" w:rsidP="008D6DD3">
      <w:pPr>
        <w:pStyle w:val="Textvysvtlivek"/>
        <w:rPr>
          <w:rFonts w:ascii="Arial" w:hAnsi="Arial" w:cs="Arial"/>
          <w:sz w:val="16"/>
          <w:szCs w:val="16"/>
        </w:rPr>
      </w:pPr>
      <w:r w:rsidRPr="00072300">
        <w:rPr>
          <w:rStyle w:val="Odkaznavysvtlivky"/>
          <w:rFonts w:ascii="Arial" w:hAnsi="Arial" w:cs="Arial"/>
          <w:color w:val="000000" w:themeColor="text1"/>
          <w:sz w:val="16"/>
          <w:szCs w:val="16"/>
        </w:rPr>
        <w:endnoteRef/>
      </w:r>
      <w:r w:rsidRPr="00072300">
        <w:rPr>
          <w:rFonts w:ascii="Arial" w:hAnsi="Arial" w:cs="Arial"/>
          <w:color w:val="000000" w:themeColor="text1"/>
          <w:sz w:val="16"/>
          <w:szCs w:val="16"/>
        </w:rPr>
        <w:t xml:space="preserve"> Podle WAITE, Linda J. a Thomas J. PLEWES. </w:t>
      </w:r>
      <w:r w:rsidRPr="00072300">
        <w:rPr>
          <w:rFonts w:ascii="Arial" w:hAnsi="Arial" w:cs="Arial"/>
          <w:i/>
          <w:color w:val="000000" w:themeColor="text1"/>
          <w:sz w:val="16"/>
          <w:szCs w:val="16"/>
        </w:rPr>
        <w:t>New directions in the sociology of aging</w:t>
      </w:r>
      <w:r w:rsidRPr="00072300">
        <w:rPr>
          <w:rFonts w:ascii="Arial" w:hAnsi="Arial" w:cs="Arial"/>
          <w:color w:val="000000" w:themeColor="text1"/>
          <w:sz w:val="16"/>
          <w:szCs w:val="16"/>
        </w:rPr>
        <w:t xml:space="preserve">. Washington, D. C.: National Academies Press, 2013. ISBN 978-0-309-29297-9.  </w:t>
      </w:r>
    </w:p>
  </w:endnote>
  <w:endnote w:id="3">
    <w:p w14:paraId="06C1906E" w14:textId="77777777" w:rsidR="008D6DD3" w:rsidRPr="00072300" w:rsidRDefault="008D6DD3" w:rsidP="008D6DD3">
      <w:pPr>
        <w:pStyle w:val="Textvysvtlivek"/>
        <w:rPr>
          <w:rFonts w:ascii="Arial" w:hAnsi="Arial" w:cs="Arial"/>
          <w:sz w:val="16"/>
          <w:szCs w:val="16"/>
        </w:rPr>
      </w:pPr>
      <w:r w:rsidRPr="00072300">
        <w:rPr>
          <w:rStyle w:val="Odkaznavysvtlivky"/>
          <w:rFonts w:ascii="Arial" w:hAnsi="Arial" w:cs="Arial"/>
          <w:color w:val="000000" w:themeColor="text1"/>
          <w:sz w:val="16"/>
          <w:szCs w:val="16"/>
        </w:rPr>
        <w:endnoteRef/>
      </w:r>
      <w:r w:rsidRPr="00072300">
        <w:rPr>
          <w:rFonts w:ascii="Arial" w:hAnsi="Arial" w:cs="Arial"/>
          <w:color w:val="000000" w:themeColor="text1"/>
          <w:sz w:val="16"/>
          <w:szCs w:val="16"/>
        </w:rPr>
        <w:t xml:space="preserve"> </w:t>
      </w:r>
      <w:r>
        <w:rPr>
          <w:rFonts w:ascii="Arial" w:hAnsi="Arial" w:cs="Arial"/>
          <w:color w:val="000000" w:themeColor="text1"/>
          <w:sz w:val="16"/>
          <w:szCs w:val="16"/>
        </w:rPr>
        <w:t>Alan Walker. Budoucnost stárnutí v Evropě: Dlouhověkost jako kapitál.</w:t>
      </w:r>
      <w:r w:rsidRPr="00072300">
        <w:rPr>
          <w:rFonts w:ascii="Arial" w:hAnsi="Arial" w:cs="Arial"/>
          <w:color w:val="000000" w:themeColor="text1"/>
          <w:sz w:val="16"/>
          <w:szCs w:val="16"/>
        </w:rPr>
        <w:t xml:space="preserve"> </w:t>
      </w:r>
      <w:r>
        <w:rPr>
          <w:rFonts w:ascii="Arial" w:hAnsi="Arial" w:cs="Arial"/>
          <w:color w:val="000000" w:themeColor="text1"/>
          <w:sz w:val="16"/>
          <w:szCs w:val="16"/>
        </w:rPr>
        <w:t xml:space="preserve">Praha </w:t>
      </w:r>
      <w:r w:rsidRPr="00072300">
        <w:rPr>
          <w:rFonts w:ascii="Arial" w:hAnsi="Arial" w:cs="Arial"/>
          <w:color w:val="000000" w:themeColor="text1"/>
          <w:sz w:val="16"/>
          <w:szCs w:val="16"/>
        </w:rPr>
        <w:t>20</w:t>
      </w:r>
      <w:r>
        <w:rPr>
          <w:rFonts w:ascii="Arial" w:hAnsi="Arial" w:cs="Arial"/>
          <w:color w:val="000000" w:themeColor="text1"/>
          <w:sz w:val="16"/>
          <w:szCs w:val="16"/>
        </w:rPr>
        <w:t>21</w:t>
      </w:r>
      <w:r w:rsidRPr="00072300">
        <w:rPr>
          <w:rFonts w:ascii="Arial" w:hAnsi="Arial" w:cs="Arial"/>
          <w:color w:val="000000" w:themeColor="text1"/>
          <w:sz w:val="16"/>
          <w:szCs w:val="16"/>
        </w:rPr>
        <w:t xml:space="preserve">. </w:t>
      </w:r>
      <w:r w:rsidRPr="00072300">
        <w:rPr>
          <w:rFonts w:ascii="Arial" w:hAnsi="Arial" w:cs="Arial"/>
          <w:sz w:val="16"/>
          <w:szCs w:val="16"/>
        </w:rPr>
        <w:t>[cit. 2023-0</w:t>
      </w:r>
      <w:r>
        <w:rPr>
          <w:rFonts w:ascii="Arial" w:hAnsi="Arial" w:cs="Arial"/>
          <w:sz w:val="16"/>
          <w:szCs w:val="16"/>
        </w:rPr>
        <w:t>5</w:t>
      </w:r>
      <w:r w:rsidRPr="00072300">
        <w:rPr>
          <w:rFonts w:ascii="Arial" w:hAnsi="Arial" w:cs="Arial"/>
          <w:sz w:val="16"/>
          <w:szCs w:val="16"/>
        </w:rPr>
        <w:t>-</w:t>
      </w:r>
      <w:r>
        <w:rPr>
          <w:rFonts w:ascii="Arial" w:hAnsi="Arial" w:cs="Arial"/>
          <w:sz w:val="16"/>
          <w:szCs w:val="16"/>
        </w:rPr>
        <w:t>09</w:t>
      </w:r>
      <w:r w:rsidRPr="00072300">
        <w:rPr>
          <w:rFonts w:ascii="Arial" w:hAnsi="Arial" w:cs="Arial"/>
          <w:sz w:val="16"/>
          <w:szCs w:val="16"/>
        </w:rPr>
        <w:t xml:space="preserve">]. </w:t>
      </w:r>
      <w:r w:rsidRPr="00072300">
        <w:rPr>
          <w:rFonts w:ascii="Arial" w:hAnsi="Arial" w:cs="Arial"/>
          <w:color w:val="000000" w:themeColor="text1"/>
          <w:sz w:val="16"/>
          <w:szCs w:val="16"/>
        </w:rPr>
        <w:t xml:space="preserve">  </w:t>
      </w:r>
    </w:p>
  </w:endnote>
  <w:endnote w:id="4">
    <w:p w14:paraId="7DA17F3C" w14:textId="77777777" w:rsidR="00B42CA9" w:rsidRPr="00072300" w:rsidRDefault="00B42CA9" w:rsidP="00B42CA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 Decade of Healthy Ageing Baseline Report. Srpen 2020. Praha. [cit. 2022-10-10]. </w:t>
      </w:r>
    </w:p>
  </w:endnote>
  <w:endnote w:id="5">
    <w:p w14:paraId="379B2CFD" w14:textId="77777777" w:rsidR="00B42CA9" w:rsidRPr="00072300" w:rsidRDefault="00B42CA9" w:rsidP="00B42CA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2022 Rome Ministerial Declaration „A sustainable World for All Ages: Joining Forces for Solidarity and Equal Opportunities Throughout Life“. 15-17 June 2022. Praha. [cit. 2022-10-10]. </w:t>
      </w:r>
    </w:p>
  </w:endnote>
  <w:endnote w:id="6">
    <w:p w14:paraId="5719BA0E" w14:textId="77777777" w:rsidR="00B42CA9" w:rsidRPr="00072300" w:rsidRDefault="00B42CA9" w:rsidP="00B42CA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United Nations Principles for Older Persons. Adobted by General Assembly resolution 46/91 of 16 December 1991. 16 December 1991. Praha. [cit. 2022-10-10].</w:t>
      </w:r>
    </w:p>
  </w:endnote>
  <w:endnote w:id="7">
    <w:p w14:paraId="0D388B67" w14:textId="77777777" w:rsidR="00F33082" w:rsidRPr="00072300" w:rsidRDefault="00F33082" w:rsidP="00F33082">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 Evropská komise. „Evropská komise přijala zprávu o dopadu demografické změny v Evropě“. Brusel. 17. června 2020. Praha. [cit. 2023-03-11]. </w:t>
      </w:r>
    </w:p>
  </w:endnote>
  <w:endnote w:id="8">
    <w:p w14:paraId="543550F6" w14:textId="77777777" w:rsidR="00F33082" w:rsidRPr="00072300" w:rsidRDefault="00F33082" w:rsidP="00F33082">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Council European Union. „Council Conclusions on Mainstreaming Ageing in Public Policies“. 6976/21. 12. March 2021. Praha. [cit. 2023-03-11]. </w:t>
      </w:r>
    </w:p>
  </w:endnote>
  <w:endnote w:id="9">
    <w:p w14:paraId="4FBB6A92" w14:textId="77777777" w:rsidR="00F33082" w:rsidRPr="00072300" w:rsidRDefault="00F33082" w:rsidP="00F33082">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 Rada Evropské unie. „ZELENÁ KNIHA O STÁRNUTÍ Podpora mezigenerační solidarity a odpovědnosti“. 1. února 2021. Praha. [cit. 2023-03-11]. </w:t>
      </w:r>
    </w:p>
  </w:endnote>
  <w:endnote w:id="10">
    <w:p w14:paraId="4813A0F7" w14:textId="77777777" w:rsidR="005743EF" w:rsidRPr="00072300" w:rsidRDefault="005743EF" w:rsidP="005743EF">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 Rada Evropské unie. „Závěry Rady „Demografické výzvy – další postup“. 8. červen 2020. Praha. [cit. 2023-04-21]. </w:t>
      </w:r>
    </w:p>
  </w:endnote>
  <w:endnote w:id="11">
    <w:p w14:paraId="3412F81A" w14:textId="77777777" w:rsidR="005743EF" w:rsidRPr="00072300" w:rsidRDefault="005743EF" w:rsidP="005743EF">
      <w:pPr>
        <w:pStyle w:val="Textvysvtlivek"/>
        <w:rPr>
          <w:rFonts w:ascii="Arial" w:hAnsi="Arial" w:cs="Arial"/>
          <w:color w:val="000000" w:themeColor="text1"/>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 Rada Evropské unie. „Hlavní závěry ze Zprávy Výboru pro sociální ochranu a Evropské komise o přiměřenosti důchodů z roku 2021“. 4. června 2021. Praha. [cit. 2023-04-21]. Dostupné </w:t>
      </w:r>
      <w:hyperlink r:id="rId1" w:history="1">
        <w:r w:rsidRPr="00072300">
          <w:rPr>
            <w:rFonts w:ascii="Arial" w:hAnsi="Arial" w:cs="Arial"/>
            <w:color w:val="000000" w:themeColor="text1"/>
            <w:sz w:val="16"/>
            <w:szCs w:val="16"/>
          </w:rPr>
          <w:t>https://data.consilium.europa.eu/doc/document/ST-9145-2021-INIT/cs/pdf</w:t>
        </w:r>
      </w:hyperlink>
    </w:p>
  </w:endnote>
  <w:endnote w:id="12">
    <w:p w14:paraId="48DFD2B6" w14:textId="77777777" w:rsidR="00885794" w:rsidRPr="00072300" w:rsidRDefault="00885794" w:rsidP="00885794">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The Future of social Protection and of the Welfare State in the EU. European Commission, Directorate-General for Employment, Social Affairs and Inclusion. January 2023. Praha. [cit. 2023-04-03]. Dostupné </w:t>
      </w:r>
      <w:hyperlink r:id="rId2" w:history="1">
        <w:r w:rsidRPr="00072300">
          <w:rPr>
            <w:rStyle w:val="Hypertextovodkaz"/>
            <w:rFonts w:ascii="Arial" w:hAnsi="Arial" w:cs="Arial"/>
            <w:sz w:val="16"/>
            <w:szCs w:val="16"/>
          </w:rPr>
          <w:t>https://op.europa.eu/en/publication-detail/-/publication/842d8006-c3b3-11ed-a05c-01aa75ed71a1/language-en/format-PDF/source-283143938</w:t>
        </w:r>
      </w:hyperlink>
    </w:p>
  </w:endnote>
  <w:endnote w:id="13">
    <w:p w14:paraId="1E065BD8" w14:textId="77777777" w:rsidR="003C0D6A" w:rsidRPr="00072300" w:rsidRDefault="003C0D6A" w:rsidP="003C0D6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Programové prohlášení vlády České republiky. Leden 2022. Praha. [cit. 2022-10-10]. </w:t>
      </w:r>
    </w:p>
  </w:endnote>
  <w:endnote w:id="14">
    <w:p w14:paraId="5BB05DCB" w14:textId="7F6D5A75"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Strategický rámec: Česká republika 2030. Vláda ČR. Praha 2017. [cit. 2023-04-21]. Dostupné </w:t>
      </w:r>
      <w:hyperlink r:id="rId3" w:history="1">
        <w:r w:rsidRPr="00072300">
          <w:rPr>
            <w:rStyle w:val="Hypertextovodkaz"/>
            <w:rFonts w:ascii="Arial" w:hAnsi="Arial" w:cs="Arial"/>
            <w:sz w:val="16"/>
            <w:szCs w:val="16"/>
          </w:rPr>
          <w:t>https://www.cr2030.cz/wp-content/uploads/2023/01/Strategicky%CC%81-ra%CC%81mec-C%CC%8CR-2030.pdf</w:t>
        </w:r>
      </w:hyperlink>
      <w:r w:rsidRPr="00072300">
        <w:rPr>
          <w:rFonts w:ascii="Arial" w:hAnsi="Arial" w:cs="Arial"/>
          <w:sz w:val="16"/>
          <w:szCs w:val="16"/>
        </w:rPr>
        <w:t xml:space="preserve"> </w:t>
      </w:r>
    </w:p>
  </w:endnote>
  <w:endnote w:id="15">
    <w:p w14:paraId="547E228A" w14:textId="68EFE923"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Zdraví 2030. Strategický rámec rozvoje péče o zdraví v České republice do roku 2030. Ministerstvo zdravotnictví ČR. Praha 2019. [cit. 2023-04-21]. Dostupné </w:t>
      </w:r>
      <w:hyperlink r:id="rId4" w:history="1">
        <w:r w:rsidRPr="00072300">
          <w:rPr>
            <w:rStyle w:val="Hypertextovodkaz"/>
            <w:rFonts w:ascii="Arial" w:hAnsi="Arial" w:cs="Arial"/>
            <w:sz w:val="16"/>
            <w:szCs w:val="16"/>
          </w:rPr>
          <w:t>https://www.mzcr.cz/vlada-schvalila-strategicky-ramec-zdravi-2030-2/</w:t>
        </w:r>
      </w:hyperlink>
      <w:r w:rsidRPr="00072300">
        <w:rPr>
          <w:rFonts w:ascii="Arial" w:hAnsi="Arial" w:cs="Arial"/>
          <w:sz w:val="16"/>
          <w:szCs w:val="16"/>
        </w:rPr>
        <w:t xml:space="preserve"> </w:t>
      </w:r>
    </w:p>
  </w:endnote>
  <w:endnote w:id="16">
    <w:p w14:paraId="1D224CA5" w14:textId="3DF32304"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Národní strategie rozvoje sociálních služeb na období 2016-2025. Ministerstvo práce a sociálních věcí ČR. Praha 2016. [cit. 2023-04-21]. Dostupné </w:t>
      </w:r>
      <w:hyperlink r:id="rId5" w:history="1">
        <w:r w:rsidRPr="00072300">
          <w:rPr>
            <w:rStyle w:val="Hypertextovodkaz"/>
            <w:rFonts w:ascii="Arial" w:hAnsi="Arial" w:cs="Arial"/>
            <w:sz w:val="16"/>
            <w:szCs w:val="16"/>
          </w:rPr>
          <w:t>https://www.mpsv.cz/documents/20142/577769/NSRSS.pdf/</w:t>
        </w:r>
      </w:hyperlink>
      <w:r w:rsidRPr="00072300">
        <w:rPr>
          <w:rFonts w:ascii="Arial" w:hAnsi="Arial" w:cs="Arial"/>
          <w:sz w:val="16"/>
          <w:szCs w:val="16"/>
        </w:rPr>
        <w:t xml:space="preserve"> </w:t>
      </w:r>
    </w:p>
  </w:endnote>
  <w:endnote w:id="17">
    <w:p w14:paraId="699A326B" w14:textId="5E364032"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Koncepce bydlení České republiky 2021+. Ministerstvo pro místní rozvoj ČR. Praha 2021. [cit. 2023-04-21]. Dostupné </w:t>
      </w:r>
      <w:hyperlink r:id="rId6" w:history="1">
        <w:r w:rsidRPr="00072300">
          <w:rPr>
            <w:rStyle w:val="Hypertextovodkaz"/>
            <w:rFonts w:ascii="Arial" w:hAnsi="Arial" w:cs="Arial"/>
            <w:sz w:val="16"/>
            <w:szCs w:val="16"/>
          </w:rPr>
          <w:t>http://socialnibydleni.mpsv.cz/cs/novinky/358-koncepce-bydleni-cr-2021-mmr</w:t>
        </w:r>
      </w:hyperlink>
      <w:r w:rsidRPr="00072300">
        <w:rPr>
          <w:rFonts w:ascii="Arial" w:hAnsi="Arial" w:cs="Arial"/>
          <w:sz w:val="16"/>
          <w:szCs w:val="16"/>
        </w:rPr>
        <w:t xml:space="preserve"> </w:t>
      </w:r>
    </w:p>
  </w:endnote>
  <w:endnote w:id="18">
    <w:p w14:paraId="6B2ABA3A" w14:textId="35F33750"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Koncepce sociálního bydlení České republiky 2015-2025. Ministerstvo práce a sociálních věcí ČR. Praha 2015. [cit. 2023-04-21]. Dostupné </w:t>
      </w:r>
      <w:hyperlink r:id="rId7" w:history="1">
        <w:r w:rsidRPr="00072300">
          <w:rPr>
            <w:rStyle w:val="Hypertextovodkaz"/>
            <w:rFonts w:ascii="Arial" w:hAnsi="Arial" w:cs="Arial"/>
            <w:sz w:val="16"/>
            <w:szCs w:val="16"/>
          </w:rPr>
          <w:t>http://socialnibydleni.mpsv.cz/cs/co-je-socialni-bydleni/koncepce-socialniho-bydleni-cr-2015-2025</w:t>
        </w:r>
      </w:hyperlink>
      <w:r w:rsidRPr="00072300">
        <w:rPr>
          <w:rFonts w:ascii="Arial" w:hAnsi="Arial" w:cs="Arial"/>
          <w:sz w:val="16"/>
          <w:szCs w:val="16"/>
        </w:rPr>
        <w:t xml:space="preserve"> </w:t>
      </w:r>
    </w:p>
  </w:endnote>
  <w:endnote w:id="19">
    <w:p w14:paraId="789F8439" w14:textId="0476B4EF"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Strategie rovnosti žen a mužů na léta 2021-2030. Úřad vlády ČR. Praha 2021. [cit. 2023-04-21]. Dostupné </w:t>
      </w:r>
      <w:hyperlink r:id="rId8" w:history="1">
        <w:r w:rsidRPr="00072300">
          <w:rPr>
            <w:rStyle w:val="Hypertextovodkaz"/>
            <w:rFonts w:ascii="Arial" w:hAnsi="Arial" w:cs="Arial"/>
            <w:sz w:val="16"/>
            <w:szCs w:val="16"/>
          </w:rPr>
          <w:t>https://www.vlada.cz/assets/ppov/rovne-prilezitosti-zen-a-muzu/Aktuality/Strategie_rovnosti_zen_a_muzu.pdf</w:t>
        </w:r>
      </w:hyperlink>
      <w:r w:rsidRPr="00072300">
        <w:rPr>
          <w:rFonts w:ascii="Arial" w:hAnsi="Arial" w:cs="Arial"/>
          <w:sz w:val="16"/>
          <w:szCs w:val="16"/>
        </w:rPr>
        <w:t xml:space="preserve"> </w:t>
      </w:r>
    </w:p>
  </w:endnote>
  <w:endnote w:id="20">
    <w:p w14:paraId="4716AC4B" w14:textId="27BB5B87"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Akční plán prevence domácího a genderově podmíněného násilí na léta 2019-2022 Úřad vlády ČR. Praha 2019. [cit. 2023-04-21]. Dostupné </w:t>
      </w:r>
      <w:hyperlink r:id="rId9" w:history="1">
        <w:r w:rsidRPr="00072300">
          <w:rPr>
            <w:rStyle w:val="Hypertextovodkaz"/>
            <w:rFonts w:ascii="Arial" w:hAnsi="Arial" w:cs="Arial"/>
            <w:sz w:val="16"/>
            <w:szCs w:val="16"/>
          </w:rPr>
          <w:t>https://www.dataplan.info/img_upload/7bdb1584e3b8a53d337518d988763f8d/akcni-plan-prevence-domaciho-a-genderove-podmineneho-nasili-na-leta-2019-2022.pdf</w:t>
        </w:r>
      </w:hyperlink>
      <w:r w:rsidRPr="00072300">
        <w:rPr>
          <w:rFonts w:ascii="Arial" w:hAnsi="Arial" w:cs="Arial"/>
          <w:sz w:val="16"/>
          <w:szCs w:val="16"/>
        </w:rPr>
        <w:t xml:space="preserve"> </w:t>
      </w:r>
    </w:p>
  </w:endnote>
  <w:endnote w:id="21">
    <w:p w14:paraId="74BD146F" w14:textId="264A5CEA" w:rsidR="006D470C" w:rsidRPr="00072300" w:rsidRDefault="006D470C">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Strategický rámec politiky zaměstnanosti do roku 2030. Ministerstvo práce a sociálních věcí ČR. Praha 2020. [cit. 2023-04-21]. Dostupné </w:t>
      </w:r>
      <w:hyperlink r:id="rId10" w:history="1">
        <w:r w:rsidRPr="00072300">
          <w:rPr>
            <w:rStyle w:val="Hypertextovodkaz"/>
            <w:rFonts w:ascii="Arial" w:hAnsi="Arial" w:cs="Arial"/>
            <w:sz w:val="16"/>
            <w:szCs w:val="16"/>
          </w:rPr>
          <w:t>https://www.mpsv.cz/documents/20142/1357303/SRPZ_2030.pdf/148b2fc5-d7a6-f9c7-cc50-13b52a62e86e</w:t>
        </w:r>
      </w:hyperlink>
      <w:r w:rsidRPr="00072300">
        <w:rPr>
          <w:rFonts w:ascii="Arial" w:hAnsi="Arial" w:cs="Arial"/>
          <w:sz w:val="16"/>
          <w:szCs w:val="16"/>
        </w:rPr>
        <w:t xml:space="preserve"> </w:t>
      </w:r>
    </w:p>
  </w:endnote>
  <w:endnote w:id="22">
    <w:p w14:paraId="6DDE5C50" w14:textId="77777777" w:rsidR="00215199" w:rsidRPr="00072300" w:rsidRDefault="00215199" w:rsidP="0021519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Národní program přípravy na stárnutí na období let 2003 až 2007. Ministerstvo práce a sociálních věcí ČR. Praha 2007. [cit. 2023-04-21]. Dostupné </w:t>
      </w:r>
      <w:hyperlink r:id="rId11" w:history="1">
        <w:r w:rsidRPr="00072300">
          <w:rPr>
            <w:rStyle w:val="Hypertextovodkaz"/>
            <w:rFonts w:ascii="Arial" w:hAnsi="Arial" w:cs="Arial"/>
            <w:sz w:val="16"/>
            <w:szCs w:val="16"/>
          </w:rPr>
          <w:t>https://www.mpsv.cz/narodni-program-pripravy-na-starnuti-na-obdobi-let-2003-az-2007</w:t>
        </w:r>
      </w:hyperlink>
      <w:r w:rsidRPr="00072300">
        <w:rPr>
          <w:rFonts w:ascii="Arial" w:hAnsi="Arial" w:cs="Arial"/>
          <w:sz w:val="16"/>
          <w:szCs w:val="16"/>
        </w:rPr>
        <w:t xml:space="preserve"> </w:t>
      </w:r>
    </w:p>
  </w:endnote>
  <w:endnote w:id="23">
    <w:p w14:paraId="06885809" w14:textId="77777777" w:rsidR="00215199" w:rsidRPr="00072300" w:rsidRDefault="00215199" w:rsidP="0021519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Kvalita života ve stáří, Národní program přípravy na stárnutí na období let 2008 až 2012. Ministerstvo práce a sociálních věcí ČR. Praha 2008. [cit. 2023-04-21]. Dostupné </w:t>
      </w:r>
      <w:hyperlink r:id="rId12" w:history="1">
        <w:r w:rsidRPr="00072300">
          <w:rPr>
            <w:rStyle w:val="Hypertextovodkaz"/>
            <w:rFonts w:ascii="Arial" w:hAnsi="Arial" w:cs="Arial"/>
            <w:sz w:val="16"/>
            <w:szCs w:val="16"/>
          </w:rPr>
          <w:t>https://data.mpsv.cz/narodni-program-pripravy-na-starnuti-na-obdobi-let-2008-az-2012-kvalita-zivota-ve-stari-</w:t>
        </w:r>
      </w:hyperlink>
      <w:r w:rsidRPr="00072300">
        <w:rPr>
          <w:rFonts w:ascii="Arial" w:hAnsi="Arial" w:cs="Arial"/>
          <w:sz w:val="16"/>
          <w:szCs w:val="16"/>
        </w:rPr>
        <w:t xml:space="preserve"> </w:t>
      </w:r>
    </w:p>
  </w:endnote>
  <w:endnote w:id="24">
    <w:p w14:paraId="37A60532" w14:textId="77777777" w:rsidR="00215199" w:rsidRPr="00072300" w:rsidRDefault="00215199" w:rsidP="00215199">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Národní akční plán podporující pozitivní stárnutí pro období let 2013 až 2017 Aktualizovaná verze k 31.12.2014. Ministerstvo práce a sociálních věcí ČR. Praha 2014. [cit. 2023-04-21]. Dostupné </w:t>
      </w:r>
      <w:hyperlink r:id="rId13" w:history="1">
        <w:r w:rsidRPr="00072300">
          <w:rPr>
            <w:rStyle w:val="Hypertextovodkaz"/>
            <w:rFonts w:ascii="Arial" w:hAnsi="Arial" w:cs="Arial"/>
            <w:sz w:val="16"/>
            <w:szCs w:val="16"/>
          </w:rPr>
          <w:t>https://www.mpsv.cz/documents/20142/372809/NAP_311214.pdf/0cc270fa-dbf9-fcd5-93d6-5e7b0e9376b2</w:t>
        </w:r>
      </w:hyperlink>
      <w:r w:rsidRPr="00072300">
        <w:rPr>
          <w:rFonts w:ascii="Arial" w:hAnsi="Arial" w:cs="Arial"/>
          <w:sz w:val="16"/>
          <w:szCs w:val="16"/>
        </w:rPr>
        <w:t xml:space="preserve"> </w:t>
      </w:r>
    </w:p>
  </w:endnote>
  <w:endnote w:id="25">
    <w:p w14:paraId="07EFDC14" w14:textId="77777777" w:rsidR="00D47E6A" w:rsidRPr="00072300" w:rsidRDefault="00D47E6A" w:rsidP="00D47E6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ČSÚ. Praha. 2023.</w:t>
      </w:r>
      <w:r w:rsidRPr="00072300">
        <w:rPr>
          <w:rFonts w:ascii="Arial" w:hAnsi="Arial" w:cs="Arial"/>
          <w:color w:val="000000" w:themeColor="text1"/>
          <w:sz w:val="16"/>
          <w:szCs w:val="16"/>
        </w:rPr>
        <w:t xml:space="preserve">[cit. 2023-04-20] Dostupné </w:t>
      </w:r>
      <w:hyperlink r:id="rId14" w:history="1">
        <w:r w:rsidRPr="00072300">
          <w:rPr>
            <w:rStyle w:val="Hypertextovodkaz"/>
            <w:rFonts w:ascii="Arial" w:hAnsi="Arial" w:cs="Arial"/>
            <w:sz w:val="16"/>
            <w:szCs w:val="16"/>
          </w:rPr>
          <w:t>https://www.czso.cz/csu/czso/cri/pohyb-obyvatelstva-rok-2022</w:t>
        </w:r>
      </w:hyperlink>
      <w:r w:rsidRPr="00072300">
        <w:rPr>
          <w:rFonts w:ascii="Arial" w:hAnsi="Arial" w:cs="Arial"/>
          <w:color w:val="000000" w:themeColor="text1"/>
          <w:sz w:val="16"/>
          <w:szCs w:val="16"/>
        </w:rPr>
        <w:t xml:space="preserve"> </w:t>
      </w:r>
    </w:p>
  </w:endnote>
  <w:endnote w:id="26">
    <w:p w14:paraId="17DAACE8" w14:textId="77777777" w:rsidR="00D47E6A" w:rsidRPr="00072300" w:rsidRDefault="00D47E6A" w:rsidP="00D47E6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ČSÚ. Praha.  2023. [cit. 2023-04-20] Dostupné </w:t>
      </w:r>
      <w:hyperlink r:id="rId15" w:history="1">
        <w:r w:rsidRPr="00072300">
          <w:rPr>
            <w:rStyle w:val="Hypertextovodkaz"/>
            <w:rFonts w:ascii="Arial" w:hAnsi="Arial" w:cs="Arial"/>
            <w:sz w:val="16"/>
            <w:szCs w:val="16"/>
          </w:rPr>
          <w:t>https://www.czso.cz/csu/czso/umrtnost-se-loni-vratila-na-predpandemickou-uroven</w:t>
        </w:r>
      </w:hyperlink>
      <w:r w:rsidRPr="00072300">
        <w:rPr>
          <w:rFonts w:ascii="Arial" w:hAnsi="Arial" w:cs="Arial"/>
          <w:color w:val="000000" w:themeColor="text1"/>
          <w:sz w:val="16"/>
          <w:szCs w:val="16"/>
        </w:rPr>
        <w:t xml:space="preserve"> </w:t>
      </w:r>
    </w:p>
  </w:endnote>
  <w:endnote w:id="27">
    <w:p w14:paraId="3B27F841" w14:textId="77777777" w:rsidR="00D47E6A" w:rsidRPr="00072300" w:rsidRDefault="00D47E6A" w:rsidP="00D47E6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auto"/>
          <w:sz w:val="16"/>
          <w:szCs w:val="16"/>
        </w:rPr>
        <w:t xml:space="preserve">ČSÚ. Praha. 2022.[cit. 2022-04-20] Dostupné </w:t>
      </w:r>
      <w:hyperlink r:id="rId16" w:history="1">
        <w:r w:rsidRPr="00072300">
          <w:rPr>
            <w:rStyle w:val="Hypertextovodkaz"/>
            <w:rFonts w:ascii="Arial" w:hAnsi="Arial" w:cs="Arial"/>
            <w:sz w:val="16"/>
            <w:szCs w:val="16"/>
          </w:rPr>
          <w:t>https://www.czso.cz/documents/10180/165397788/31003422.pdf/7e1fd9c7-e5fb-4155-9e88-882ba3cb1712?version=1.5</w:t>
        </w:r>
      </w:hyperlink>
      <w:r w:rsidRPr="00072300">
        <w:rPr>
          <w:rFonts w:ascii="Arial" w:hAnsi="Arial" w:cs="Arial"/>
          <w:color w:val="auto"/>
          <w:sz w:val="16"/>
          <w:szCs w:val="16"/>
        </w:rPr>
        <w:t xml:space="preserve"> </w:t>
      </w:r>
    </w:p>
  </w:endnote>
  <w:endnote w:id="28">
    <w:p w14:paraId="076BA365" w14:textId="77777777" w:rsidR="00D47E6A" w:rsidRPr="00072300" w:rsidRDefault="00D47E6A" w:rsidP="00D47E6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auto"/>
          <w:sz w:val="16"/>
          <w:szCs w:val="16"/>
        </w:rPr>
        <w:t xml:space="preserve">ČSÚ. Praha. 2022.[cit. 2022-04-20] Dostupné </w:t>
      </w:r>
      <w:hyperlink r:id="rId17" w:history="1">
        <w:r w:rsidRPr="00072300">
          <w:rPr>
            <w:rStyle w:val="Hypertextovodkaz"/>
            <w:rFonts w:ascii="Arial" w:hAnsi="Arial" w:cs="Arial"/>
            <w:sz w:val="16"/>
            <w:szCs w:val="16"/>
          </w:rPr>
          <w:t>https://www.czso.cz/documents/10180/165397788/31003422.pdf/7e1fd9c7-e5fb-4155-9e88-882ba3cb1712?version=1.5</w:t>
        </w:r>
      </w:hyperlink>
    </w:p>
  </w:endnote>
  <w:endnote w:id="29">
    <w:p w14:paraId="4767FBA2" w14:textId="77777777" w:rsidR="00D47E6A" w:rsidRPr="00072300" w:rsidRDefault="00D47E6A" w:rsidP="00D47E6A">
      <w:pPr>
        <w:pStyle w:val="Textvysvtlivek"/>
        <w:rPr>
          <w:rFonts w:ascii="Arial" w:hAnsi="Arial" w:cs="Arial"/>
          <w:color w:val="000000" w:themeColor="text1"/>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ČSÚ. Praha. 2021.[cit. 2023-01-04] Dostupné </w:t>
      </w:r>
      <w:hyperlink r:id="rId18" w:history="1">
        <w:r w:rsidRPr="00072300">
          <w:rPr>
            <w:rFonts w:ascii="Arial" w:hAnsi="Arial" w:cs="Arial"/>
            <w:color w:val="000000" w:themeColor="text1"/>
            <w:sz w:val="16"/>
            <w:szCs w:val="16"/>
          </w:rPr>
          <w:t>https://www.czso.cz/csu/czso/vekove-slozeni-obyvatelstva-2021</w:t>
        </w:r>
      </w:hyperlink>
    </w:p>
  </w:endnote>
  <w:endnote w:id="30">
    <w:p w14:paraId="7A3859C5" w14:textId="77777777" w:rsidR="0068293A" w:rsidRPr="00072300" w:rsidRDefault="0068293A" w:rsidP="0068293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ČSÚ. </w:t>
      </w:r>
      <w:r w:rsidRPr="00072300">
        <w:rPr>
          <w:rFonts w:ascii="Arial" w:eastAsiaTheme="majorEastAsia" w:hAnsi="Arial" w:cs="Arial"/>
          <w:i/>
          <w:color w:val="000000" w:themeColor="text1"/>
          <w:kern w:val="32"/>
          <w:sz w:val="16"/>
          <w:szCs w:val="16"/>
          <w:lang w:val="es-ES"/>
        </w:rPr>
        <w:t>Projekce obyvatelstva</w:t>
      </w:r>
      <w:r w:rsidRPr="00072300">
        <w:rPr>
          <w:rFonts w:ascii="Arial" w:hAnsi="Arial" w:cs="Arial"/>
          <w:i/>
          <w:color w:val="000000" w:themeColor="text1"/>
          <w:sz w:val="16"/>
          <w:szCs w:val="16"/>
          <w:lang w:val="es-ES"/>
        </w:rPr>
        <w:t xml:space="preserve"> České republiky do roku 2100</w:t>
      </w:r>
      <w:r w:rsidRPr="00072300">
        <w:rPr>
          <w:rFonts w:ascii="Arial" w:hAnsi="Arial" w:cs="Arial"/>
          <w:color w:val="000000" w:themeColor="text1"/>
          <w:sz w:val="16"/>
          <w:szCs w:val="16"/>
          <w:lang w:val="es-ES"/>
        </w:rPr>
        <w:t xml:space="preserve"> [online]. Praha: Český statistický úřad, 2013 [cit. 2017-04-28].  Dostupné z: </w:t>
      </w:r>
      <w:hyperlink r:id="rId19" w:history="1">
        <w:r w:rsidRPr="00072300">
          <w:rPr>
            <w:rStyle w:val="Hypertextovodkaz"/>
            <w:rFonts w:ascii="Arial" w:hAnsi="Arial" w:cs="Arial"/>
            <w:color w:val="000000" w:themeColor="text1"/>
            <w:sz w:val="16"/>
            <w:szCs w:val="16"/>
            <w:lang w:val="es-ES"/>
          </w:rPr>
          <w:t>https://www.czso.cz/csu/czso/projekce-obyvatelstva-ceske-republiky-do-roku-2100-n-fu4s64b8h4</w:t>
        </w:r>
      </w:hyperlink>
      <w:r w:rsidRPr="00072300">
        <w:rPr>
          <w:rStyle w:val="Hypertextovodkaz"/>
          <w:rFonts w:ascii="Arial" w:hAnsi="Arial" w:cs="Arial"/>
          <w:b/>
          <w:bCs/>
          <w:color w:val="000000" w:themeColor="text1"/>
          <w:sz w:val="16"/>
          <w:szCs w:val="16"/>
          <w:lang w:val="es-ES"/>
        </w:rPr>
        <w:t xml:space="preserve">  </w:t>
      </w:r>
      <w:r w:rsidRPr="00072300">
        <w:rPr>
          <w:rFonts w:ascii="Arial" w:hAnsi="Arial" w:cs="Arial"/>
          <w:b/>
          <w:bCs/>
          <w:color w:val="000000" w:themeColor="text1"/>
          <w:sz w:val="16"/>
          <w:szCs w:val="16"/>
        </w:rPr>
        <w:t xml:space="preserve"> </w:t>
      </w:r>
    </w:p>
  </w:endnote>
  <w:endnote w:id="31">
    <w:p w14:paraId="673A5A29" w14:textId="76886360" w:rsidR="0068293A" w:rsidRPr="00072300" w:rsidRDefault="0068293A" w:rsidP="0068293A">
      <w:pPr>
        <w:pStyle w:val="Textvysvtlivek"/>
        <w:rPr>
          <w:rFonts w:ascii="Arial" w:hAnsi="Arial" w:cs="Arial"/>
          <w:color w:val="000000" w:themeColor="text1"/>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MPSV. </w:t>
      </w:r>
      <w:r w:rsidRPr="00072300">
        <w:rPr>
          <w:rFonts w:ascii="Arial" w:hAnsi="Arial" w:cs="Arial"/>
          <w:i/>
          <w:color w:val="000000" w:themeColor="text1"/>
          <w:sz w:val="16"/>
          <w:szCs w:val="16"/>
        </w:rPr>
        <w:t>Informace o vyplacených dávkách v resortu MPSV ČR v </w:t>
      </w:r>
      <w:r w:rsidR="00072300" w:rsidRPr="00072300">
        <w:rPr>
          <w:rFonts w:ascii="Arial" w:hAnsi="Arial" w:cs="Arial"/>
          <w:i/>
          <w:color w:val="000000" w:themeColor="text1"/>
          <w:sz w:val="16"/>
          <w:szCs w:val="16"/>
        </w:rPr>
        <w:t>březnu</w:t>
      </w:r>
      <w:r w:rsidRPr="00072300">
        <w:rPr>
          <w:rFonts w:ascii="Arial" w:hAnsi="Arial" w:cs="Arial"/>
          <w:i/>
          <w:color w:val="000000" w:themeColor="text1"/>
          <w:sz w:val="16"/>
          <w:szCs w:val="16"/>
        </w:rPr>
        <w:t xml:space="preserve"> 202</w:t>
      </w:r>
      <w:r w:rsidR="00072300" w:rsidRPr="00072300">
        <w:rPr>
          <w:rFonts w:ascii="Arial" w:hAnsi="Arial" w:cs="Arial"/>
          <w:i/>
          <w:color w:val="000000" w:themeColor="text1"/>
          <w:sz w:val="16"/>
          <w:szCs w:val="16"/>
        </w:rPr>
        <w:t>3</w:t>
      </w:r>
      <w:r w:rsidRPr="00072300">
        <w:rPr>
          <w:rFonts w:ascii="Arial" w:hAnsi="Arial" w:cs="Arial"/>
          <w:color w:val="000000" w:themeColor="text1"/>
          <w:sz w:val="16"/>
          <w:szCs w:val="16"/>
        </w:rPr>
        <w:t>. [online]. Praha: Ministerstvo práce a sociálních věcí, 202</w:t>
      </w:r>
      <w:r w:rsidR="00072300" w:rsidRPr="00072300">
        <w:rPr>
          <w:rFonts w:ascii="Arial" w:hAnsi="Arial" w:cs="Arial"/>
          <w:color w:val="000000" w:themeColor="text1"/>
          <w:sz w:val="16"/>
          <w:szCs w:val="16"/>
        </w:rPr>
        <w:t>3</w:t>
      </w:r>
      <w:r w:rsidRPr="00072300">
        <w:rPr>
          <w:rFonts w:ascii="Arial" w:hAnsi="Arial" w:cs="Arial"/>
          <w:color w:val="000000" w:themeColor="text1"/>
          <w:sz w:val="16"/>
          <w:szCs w:val="16"/>
        </w:rPr>
        <w:t>. [cit. 2023-0</w:t>
      </w:r>
      <w:r w:rsidR="00072300" w:rsidRPr="00072300">
        <w:rPr>
          <w:rFonts w:ascii="Arial" w:hAnsi="Arial" w:cs="Arial"/>
          <w:color w:val="000000" w:themeColor="text1"/>
          <w:sz w:val="16"/>
          <w:szCs w:val="16"/>
        </w:rPr>
        <w:t>5</w:t>
      </w:r>
      <w:r w:rsidRPr="00072300">
        <w:rPr>
          <w:rFonts w:ascii="Arial" w:hAnsi="Arial" w:cs="Arial"/>
          <w:color w:val="000000" w:themeColor="text1"/>
          <w:sz w:val="16"/>
          <w:szCs w:val="16"/>
        </w:rPr>
        <w:t>-</w:t>
      </w:r>
      <w:r w:rsidR="00072300" w:rsidRPr="00072300">
        <w:rPr>
          <w:rFonts w:ascii="Arial" w:hAnsi="Arial" w:cs="Arial"/>
          <w:color w:val="000000" w:themeColor="text1"/>
          <w:sz w:val="16"/>
          <w:szCs w:val="16"/>
        </w:rPr>
        <w:t>02</w:t>
      </w:r>
      <w:r w:rsidRPr="00072300">
        <w:rPr>
          <w:rFonts w:ascii="Arial" w:hAnsi="Arial" w:cs="Arial"/>
          <w:color w:val="000000" w:themeColor="text1"/>
          <w:sz w:val="16"/>
          <w:szCs w:val="16"/>
        </w:rPr>
        <w:t xml:space="preserve">] Dostupné z: </w:t>
      </w:r>
      <w:hyperlink r:id="rId20" w:history="1">
        <w:r w:rsidR="00072300" w:rsidRPr="00C258D8">
          <w:rPr>
            <w:rStyle w:val="Hypertextovodkaz"/>
            <w:rFonts w:ascii="Arial" w:hAnsi="Arial" w:cs="Arial"/>
            <w:sz w:val="16"/>
            <w:szCs w:val="16"/>
          </w:rPr>
          <w:t>https://www.mpsv.cz/documents/20142/4895582/Informace+o+vyplacen%C3%BDch+d%C3%A1vk%C3%A1ch+v+b%C5%99eznu+2023.pdf/404236f6-9fa0-280b-a063-f1c57c3f7d38</w:t>
        </w:r>
      </w:hyperlink>
      <w:r w:rsidR="00072300">
        <w:rPr>
          <w:rFonts w:ascii="Arial" w:hAnsi="Arial" w:cs="Arial"/>
          <w:sz w:val="16"/>
          <w:szCs w:val="16"/>
        </w:rPr>
        <w:t xml:space="preserve"> </w:t>
      </w:r>
      <w:r w:rsidRPr="00072300">
        <w:rPr>
          <w:rFonts w:ascii="Arial" w:hAnsi="Arial" w:cs="Arial"/>
          <w:color w:val="000000" w:themeColor="text1"/>
          <w:sz w:val="16"/>
          <w:szCs w:val="16"/>
        </w:rPr>
        <w:t xml:space="preserve"> </w:t>
      </w:r>
      <w:r w:rsidR="00072300">
        <w:rPr>
          <w:rFonts w:ascii="Arial" w:hAnsi="Arial" w:cs="Arial"/>
          <w:color w:val="000000" w:themeColor="text1"/>
          <w:sz w:val="16"/>
          <w:szCs w:val="16"/>
        </w:rPr>
        <w:t xml:space="preserve"> </w:t>
      </w:r>
    </w:p>
  </w:endnote>
  <w:endnote w:id="32">
    <w:p w14:paraId="44A1C4F7" w14:textId="77777777" w:rsidR="0068293A" w:rsidRPr="00072300" w:rsidRDefault="0068293A" w:rsidP="0068293A">
      <w:pPr>
        <w:pStyle w:val="Textvysvtlivek"/>
        <w:jc w:val="left"/>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auto"/>
          <w:sz w:val="16"/>
          <w:szCs w:val="16"/>
        </w:rPr>
        <w:t xml:space="preserve">Vláda České republiky. </w:t>
      </w:r>
      <w:r w:rsidRPr="00072300">
        <w:rPr>
          <w:rFonts w:ascii="Arial" w:hAnsi="Arial" w:cs="Arial"/>
          <w:i/>
          <w:color w:val="auto"/>
          <w:sz w:val="16"/>
          <w:szCs w:val="16"/>
        </w:rPr>
        <w:t xml:space="preserve">Vláda schválila upravené parametry valorizace důchodů. Průměrný starobní důchodce dostane o 760 korun více </w:t>
      </w:r>
      <w:r w:rsidRPr="00072300">
        <w:rPr>
          <w:rFonts w:ascii="Arial" w:hAnsi="Arial" w:cs="Arial"/>
          <w:color w:val="auto"/>
          <w:sz w:val="16"/>
          <w:szCs w:val="16"/>
        </w:rPr>
        <w:t xml:space="preserve">[online]. 2023. [cit. 2023-04-20] Dostupné z:  </w:t>
      </w:r>
      <w:hyperlink r:id="rId21" w:history="1">
        <w:r w:rsidRPr="00072300">
          <w:rPr>
            <w:rStyle w:val="Hypertextovodkaz"/>
            <w:rFonts w:ascii="Arial" w:hAnsi="Arial" w:cs="Arial"/>
            <w:sz w:val="16"/>
            <w:szCs w:val="16"/>
          </w:rPr>
          <w:t>https://www.vlada.cz/cz/media-centrum/aktualne/vlada-schvalila-upravene-parametry-valorizace-duchodu--prumerny-starobni-duchodce-dostane-o-760-korun-vice-203160/</w:t>
        </w:r>
      </w:hyperlink>
      <w:r w:rsidRPr="00072300">
        <w:rPr>
          <w:rFonts w:ascii="Arial" w:hAnsi="Arial" w:cs="Arial"/>
          <w:color w:val="auto"/>
          <w:sz w:val="16"/>
          <w:szCs w:val="16"/>
        </w:rPr>
        <w:t xml:space="preserve"> </w:t>
      </w:r>
    </w:p>
  </w:endnote>
  <w:endnote w:id="33">
    <w:p w14:paraId="45423DB5" w14:textId="77777777" w:rsidR="00462348" w:rsidRPr="00072300" w:rsidRDefault="00462348" w:rsidP="00462348">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Data ČSU, </w:t>
      </w:r>
      <w:r w:rsidRPr="00072300">
        <w:rPr>
          <w:rFonts w:ascii="Arial" w:hAnsi="Arial" w:cs="Arial"/>
          <w:i/>
          <w:color w:val="000000" w:themeColor="text1"/>
          <w:sz w:val="16"/>
          <w:szCs w:val="16"/>
        </w:rPr>
        <w:t>Příjmy a životní podmínky domácností</w:t>
      </w:r>
    </w:p>
  </w:endnote>
  <w:endnote w:id="34">
    <w:p w14:paraId="6ECACAF6" w14:textId="04328B9D" w:rsidR="0068293A" w:rsidRPr="00072300" w:rsidRDefault="0068293A" w:rsidP="0068293A">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Jedná se o základní výměru (pro všechny stejná, 2700 Kč v roce 2018) a procentní výměru (v roce 2018 nejméně 770 Kč měsíčně). ČSSZ, Starobní důchody [online]. [cit. 2019-01-17], Dostupné z: </w:t>
      </w:r>
      <w:hyperlink r:id="rId22" w:history="1">
        <w:r w:rsidR="00072300" w:rsidRPr="00C258D8">
          <w:rPr>
            <w:rStyle w:val="Hypertextovodkaz"/>
            <w:rFonts w:ascii="Arial" w:hAnsi="Arial" w:cs="Arial"/>
            <w:sz w:val="16"/>
            <w:szCs w:val="16"/>
          </w:rPr>
          <w:t>https://www.cssz.cz/cz/duchodove-pojisteni/davky/starobni-duchody.htm</w:t>
        </w:r>
      </w:hyperlink>
      <w:r w:rsidR="00072300">
        <w:rPr>
          <w:rFonts w:ascii="Arial" w:hAnsi="Arial" w:cs="Arial"/>
          <w:color w:val="000000" w:themeColor="text1"/>
          <w:sz w:val="16"/>
          <w:szCs w:val="16"/>
        </w:rPr>
        <w:t xml:space="preserve"> </w:t>
      </w:r>
    </w:p>
  </w:endnote>
  <w:endnote w:id="35">
    <w:p w14:paraId="64707392"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MPSV, vlastní výpočty, ČSU. ČSU – Mzdy a náklady práce. Dostupné z:</w:t>
      </w:r>
      <w:r w:rsidRPr="00072300">
        <w:rPr>
          <w:rFonts w:ascii="Arial" w:hAnsi="Arial" w:cs="Arial"/>
          <w:sz w:val="16"/>
          <w:szCs w:val="16"/>
        </w:rPr>
        <w:t xml:space="preserve"> </w:t>
      </w:r>
      <w:hyperlink r:id="rId23" w:history="1">
        <w:r w:rsidRPr="00072300">
          <w:rPr>
            <w:rStyle w:val="Hypertextovodkaz"/>
            <w:rFonts w:ascii="Arial" w:hAnsi="Arial" w:cs="Arial"/>
            <w:sz w:val="16"/>
            <w:szCs w:val="16"/>
          </w:rPr>
          <w:t>https://www.czso.cz/csu/czso/prace_a_mzdy_prace</w:t>
        </w:r>
      </w:hyperlink>
      <w:proofErr w:type="gramStart"/>
      <w:r w:rsidRPr="00072300">
        <w:rPr>
          <w:rStyle w:val="Hypertextovodkaz"/>
          <w:rFonts w:ascii="Arial" w:hAnsi="Arial" w:cs="Arial"/>
          <w:color w:val="000000" w:themeColor="text1"/>
          <w:sz w:val="16"/>
          <w:szCs w:val="16"/>
        </w:rPr>
        <w:t xml:space="preserve">, </w:t>
      </w:r>
      <w:r w:rsidRPr="00072300">
        <w:rPr>
          <w:rFonts w:ascii="Arial" w:hAnsi="Arial" w:cs="Arial"/>
          <w:color w:val="000000" w:themeColor="text1"/>
          <w:sz w:val="16"/>
          <w:szCs w:val="16"/>
        </w:rPr>
        <w:t>.</w:t>
      </w:r>
      <w:proofErr w:type="gramEnd"/>
      <w:r w:rsidRPr="00072300">
        <w:rPr>
          <w:rFonts w:ascii="Arial" w:hAnsi="Arial" w:cs="Arial"/>
          <w:color w:val="000000" w:themeColor="text1"/>
          <w:sz w:val="16"/>
          <w:szCs w:val="16"/>
        </w:rPr>
        <w:t xml:space="preserve"> [cit. 2019-07-22].</w:t>
      </w:r>
    </w:p>
  </w:endnote>
  <w:endnote w:id="36">
    <w:p w14:paraId="50470548"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iRozhlas</w:t>
      </w:r>
      <w:r w:rsidRPr="00072300">
        <w:rPr>
          <w:rFonts w:ascii="Arial" w:hAnsi="Arial" w:cs="Arial"/>
          <w:i/>
          <w:iCs/>
          <w:sz w:val="16"/>
          <w:szCs w:val="16"/>
        </w:rPr>
        <w:t>. Život k nezaplacení: Jak se vyvíjí příjmová chudoba domácností</w:t>
      </w:r>
      <w:r w:rsidRPr="00072300">
        <w:rPr>
          <w:rFonts w:ascii="Arial" w:hAnsi="Arial" w:cs="Arial"/>
          <w:sz w:val="16"/>
          <w:szCs w:val="16"/>
        </w:rPr>
        <w:t xml:space="preserve">. 2023. [cit. 2023-04-20] Dostupné z: </w:t>
      </w:r>
      <w:hyperlink r:id="rId24" w:history="1">
        <w:r w:rsidRPr="00072300">
          <w:rPr>
            <w:rStyle w:val="Hypertextovodkaz"/>
            <w:rFonts w:ascii="Arial" w:hAnsi="Arial" w:cs="Arial"/>
            <w:sz w:val="16"/>
            <w:szCs w:val="16"/>
          </w:rPr>
          <w:t>https://data.irozhlas.cz/zivot/ekonomicke-dopady/</w:t>
        </w:r>
      </w:hyperlink>
      <w:r w:rsidRPr="00072300">
        <w:rPr>
          <w:rFonts w:ascii="Arial" w:hAnsi="Arial" w:cs="Arial"/>
          <w:sz w:val="16"/>
          <w:szCs w:val="16"/>
        </w:rPr>
        <w:t xml:space="preserve"> </w:t>
      </w:r>
    </w:p>
  </w:endnote>
  <w:endnote w:id="37">
    <w:p w14:paraId="4FA287E0"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ČSÚ. </w:t>
      </w:r>
      <w:r w:rsidRPr="00072300">
        <w:rPr>
          <w:rFonts w:ascii="Arial" w:hAnsi="Arial" w:cs="Arial"/>
          <w:i/>
          <w:sz w:val="16"/>
          <w:szCs w:val="16"/>
        </w:rPr>
        <w:t>Příjmy a životní podmínky domácností 2022</w:t>
      </w:r>
      <w:r w:rsidRPr="00072300">
        <w:rPr>
          <w:rFonts w:ascii="Arial" w:hAnsi="Arial" w:cs="Arial"/>
          <w:sz w:val="16"/>
          <w:szCs w:val="16"/>
        </w:rPr>
        <w:t xml:space="preserve">. 2023. [cit. 2023-04-20] Dostupné z: </w:t>
      </w:r>
      <w:hyperlink r:id="rId25" w:history="1">
        <w:r w:rsidRPr="00072300">
          <w:rPr>
            <w:rStyle w:val="Hypertextovodkaz"/>
            <w:rFonts w:ascii="Arial" w:hAnsi="Arial" w:cs="Arial"/>
            <w:sz w:val="16"/>
            <w:szCs w:val="16"/>
          </w:rPr>
          <w:t>https://www.czso.cz/documents/10180/189719223/1600212319.pdf/ad50dc65-14fa-47eb-a09c-c55b273a3714?version=1.1</w:t>
        </w:r>
      </w:hyperlink>
      <w:r w:rsidRPr="00072300">
        <w:rPr>
          <w:rFonts w:ascii="Arial" w:hAnsi="Arial" w:cs="Arial"/>
          <w:sz w:val="16"/>
          <w:szCs w:val="16"/>
        </w:rPr>
        <w:t xml:space="preserve"> </w:t>
      </w:r>
    </w:p>
  </w:endnote>
  <w:endnote w:id="38">
    <w:p w14:paraId="1E454749"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iRozhlas</w:t>
      </w:r>
      <w:r w:rsidRPr="00072300">
        <w:rPr>
          <w:rFonts w:ascii="Arial" w:hAnsi="Arial" w:cs="Arial"/>
          <w:i/>
          <w:iCs/>
          <w:sz w:val="16"/>
          <w:szCs w:val="16"/>
        </w:rPr>
        <w:t>. Život k nezaplacení: Jak se vyvíjí příjmová chudoba domácností</w:t>
      </w:r>
      <w:r w:rsidRPr="00072300">
        <w:rPr>
          <w:rFonts w:ascii="Arial" w:hAnsi="Arial" w:cs="Arial"/>
          <w:sz w:val="16"/>
          <w:szCs w:val="16"/>
        </w:rPr>
        <w:t xml:space="preserve">. 2023. [cit. 2023-04-20] Dostupné z: </w:t>
      </w:r>
      <w:hyperlink r:id="rId26" w:history="1">
        <w:r w:rsidRPr="00072300">
          <w:rPr>
            <w:rStyle w:val="Hypertextovodkaz"/>
            <w:rFonts w:ascii="Arial" w:hAnsi="Arial" w:cs="Arial"/>
            <w:sz w:val="16"/>
            <w:szCs w:val="16"/>
          </w:rPr>
          <w:t>https://data.irozhlas.cz/zivot/ekonomicke-dopady/</w:t>
        </w:r>
      </w:hyperlink>
      <w:r w:rsidRPr="00072300">
        <w:rPr>
          <w:rFonts w:ascii="Arial" w:hAnsi="Arial" w:cs="Arial"/>
          <w:sz w:val="16"/>
          <w:szCs w:val="16"/>
        </w:rPr>
        <w:t xml:space="preserve"> </w:t>
      </w:r>
    </w:p>
  </w:endnote>
  <w:endnote w:id="39">
    <w:p w14:paraId="090021BB"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iRozhlas. </w:t>
      </w:r>
      <w:r w:rsidRPr="00072300">
        <w:rPr>
          <w:rFonts w:ascii="Arial" w:hAnsi="Arial" w:cs="Arial"/>
          <w:i/>
          <w:iCs/>
          <w:color w:val="auto"/>
          <w:sz w:val="16"/>
          <w:szCs w:val="16"/>
        </w:rPr>
        <w:t>Život k nezaplacení: Jak velkou část svého příjmu dávají domácnosti za bydlení a potraviny</w:t>
      </w:r>
      <w:r w:rsidRPr="00072300">
        <w:rPr>
          <w:rFonts w:ascii="Arial" w:hAnsi="Arial" w:cs="Arial"/>
          <w:color w:val="auto"/>
          <w:sz w:val="16"/>
          <w:szCs w:val="16"/>
        </w:rPr>
        <w:t xml:space="preserve">. 2023. </w:t>
      </w:r>
      <w:r w:rsidRPr="00072300">
        <w:rPr>
          <w:rFonts w:ascii="Arial" w:hAnsi="Arial" w:cs="Arial"/>
          <w:sz w:val="16"/>
          <w:szCs w:val="16"/>
        </w:rPr>
        <w:t xml:space="preserve">[cit. 2023-04-20] Dostupné z: </w:t>
      </w:r>
      <w:hyperlink r:id="rId27" w:history="1">
        <w:r w:rsidRPr="00072300">
          <w:rPr>
            <w:rStyle w:val="Hypertextovodkaz"/>
            <w:rFonts w:ascii="Arial" w:hAnsi="Arial" w:cs="Arial"/>
            <w:sz w:val="16"/>
            <w:szCs w:val="16"/>
          </w:rPr>
          <w:t>https://data.irozhlas.cz/zivot/vydaje-procenta/</w:t>
        </w:r>
      </w:hyperlink>
      <w:r w:rsidRPr="00072300">
        <w:rPr>
          <w:rFonts w:ascii="Arial" w:hAnsi="Arial" w:cs="Arial"/>
          <w:sz w:val="16"/>
          <w:szCs w:val="16"/>
        </w:rPr>
        <w:t xml:space="preserve"> </w:t>
      </w:r>
    </w:p>
  </w:endnote>
  <w:endnote w:id="40">
    <w:p w14:paraId="774D37D4" w14:textId="77777777" w:rsidR="006C431D" w:rsidRPr="00072300" w:rsidRDefault="006C431D" w:rsidP="006C431D">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iRozhlas. </w:t>
      </w:r>
      <w:r w:rsidRPr="00072300">
        <w:rPr>
          <w:rFonts w:ascii="Arial" w:hAnsi="Arial" w:cs="Arial"/>
          <w:i/>
          <w:iCs/>
          <w:color w:val="auto"/>
          <w:sz w:val="16"/>
          <w:szCs w:val="16"/>
        </w:rPr>
        <w:t xml:space="preserve">Život k nezaplacení: Jak roste podíl domácností výrazně zatížených výdaji na bydlení. </w:t>
      </w:r>
      <w:r w:rsidRPr="00072300">
        <w:rPr>
          <w:rFonts w:ascii="Arial" w:hAnsi="Arial" w:cs="Arial"/>
          <w:color w:val="auto"/>
          <w:sz w:val="16"/>
          <w:szCs w:val="16"/>
        </w:rPr>
        <w:t xml:space="preserve">2023. </w:t>
      </w:r>
      <w:r w:rsidRPr="00072300">
        <w:rPr>
          <w:rFonts w:ascii="Arial" w:hAnsi="Arial" w:cs="Arial"/>
          <w:sz w:val="16"/>
          <w:szCs w:val="16"/>
        </w:rPr>
        <w:t xml:space="preserve">[cit. 2023-04-20] Dostupné z: </w:t>
      </w:r>
      <w:hyperlink r:id="rId28" w:history="1">
        <w:r w:rsidRPr="00072300">
          <w:rPr>
            <w:rStyle w:val="Hypertextovodkaz"/>
            <w:rFonts w:ascii="Arial" w:hAnsi="Arial" w:cs="Arial"/>
            <w:sz w:val="16"/>
            <w:szCs w:val="16"/>
          </w:rPr>
          <w:t>https://data.irozhlas.cz/zivot/vydaje-procenta/</w:t>
        </w:r>
      </w:hyperlink>
    </w:p>
  </w:endnote>
  <w:endnote w:id="41">
    <w:p w14:paraId="0179C034" w14:textId="77777777" w:rsidR="00C74307" w:rsidRPr="00072300" w:rsidRDefault="00C74307" w:rsidP="00C74307">
      <w:pPr>
        <w:pStyle w:val="Textvysvtlivek"/>
        <w:jc w:val="left"/>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auto"/>
          <w:sz w:val="16"/>
          <w:szCs w:val="16"/>
        </w:rPr>
        <w:t xml:space="preserve">ČSÚ. Příjmy a životní podmínky domácností - 2022. Praha: Český statistický úřad, 2023. [cit. 2023-04-21] Dostupné z: </w:t>
      </w:r>
      <w:hyperlink r:id="rId29" w:history="1">
        <w:r w:rsidRPr="00072300">
          <w:rPr>
            <w:rStyle w:val="Hypertextovodkaz"/>
            <w:rFonts w:ascii="Arial" w:hAnsi="Arial" w:cs="Arial"/>
            <w:sz w:val="16"/>
            <w:szCs w:val="16"/>
          </w:rPr>
          <w:t>https://www.czso.cz/documents/10180/189719223/1600212304d.pdf/44925267-489c-4700-9f5c-09bab45c987d?version=1.2</w:t>
        </w:r>
      </w:hyperlink>
      <w:r w:rsidRPr="00072300">
        <w:rPr>
          <w:rFonts w:ascii="Arial" w:hAnsi="Arial" w:cs="Arial"/>
          <w:color w:val="auto"/>
          <w:sz w:val="16"/>
          <w:szCs w:val="16"/>
        </w:rPr>
        <w:t xml:space="preserve"> </w:t>
      </w:r>
    </w:p>
  </w:endnote>
  <w:endnote w:id="42">
    <w:p w14:paraId="36CF40D7" w14:textId="77777777" w:rsidR="00C74307" w:rsidRPr="00072300" w:rsidRDefault="00C74307" w:rsidP="00C74307">
      <w:pPr>
        <w:pStyle w:val="Textvysvtlivek"/>
        <w:rPr>
          <w:rFonts w:ascii="Arial" w:hAnsi="Arial" w:cs="Arial"/>
          <w:color w:val="000000" w:themeColor="text1"/>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MPSV. </w:t>
      </w:r>
      <w:r w:rsidRPr="00072300">
        <w:rPr>
          <w:rFonts w:ascii="Arial" w:hAnsi="Arial" w:cs="Arial"/>
          <w:i/>
          <w:color w:val="000000" w:themeColor="text1"/>
          <w:sz w:val="16"/>
          <w:szCs w:val="16"/>
        </w:rPr>
        <w:t>Informace o vyplacených dávkách v resortu MPSV ČR v prosinci 2022</w:t>
      </w:r>
      <w:r w:rsidRPr="00072300">
        <w:rPr>
          <w:rFonts w:ascii="Arial" w:hAnsi="Arial" w:cs="Arial"/>
          <w:color w:val="000000" w:themeColor="text1"/>
          <w:sz w:val="16"/>
          <w:szCs w:val="16"/>
        </w:rPr>
        <w:t xml:space="preserve">. [online]. Praha: Ministerstvo práce a sociálních věcí, 2022. [cit. 2023-04-21] Dostupné z: </w:t>
      </w:r>
      <w:hyperlink r:id="rId30" w:history="1">
        <w:r w:rsidRPr="00072300">
          <w:rPr>
            <w:rStyle w:val="Hypertextovodkaz"/>
            <w:rFonts w:ascii="Arial" w:hAnsi="Arial" w:cs="Arial"/>
            <w:sz w:val="16"/>
            <w:szCs w:val="16"/>
          </w:rPr>
          <w:t>https://www.mpsv.cz/documents/20142/2867337/Informace+o+vyplacen%C3%BDch+d%C3%A1vk%C3%A1ch+v+prosinci+2022.pdf/7f66394e-5192-e6a2-b607-eb767af0df8d</w:t>
        </w:r>
      </w:hyperlink>
      <w:r w:rsidRPr="00072300">
        <w:rPr>
          <w:rFonts w:ascii="Arial" w:hAnsi="Arial" w:cs="Arial"/>
          <w:color w:val="000000" w:themeColor="text1"/>
          <w:sz w:val="16"/>
          <w:szCs w:val="16"/>
        </w:rPr>
        <w:t xml:space="preserve"> </w:t>
      </w:r>
    </w:p>
  </w:endnote>
  <w:endnote w:id="43">
    <w:p w14:paraId="5CA061E3"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EUROSTAT. 2018. [CIT. 2019-02-20] Dostupné z: </w:t>
      </w:r>
      <w:hyperlink r:id="rId31" w:anchor="Healthy_life_years_at_birth" w:history="1">
        <w:r w:rsidRPr="00072300">
          <w:rPr>
            <w:rStyle w:val="Hypertextovodkaz"/>
            <w:rFonts w:ascii="Arial" w:hAnsi="Arial" w:cs="Arial"/>
            <w:sz w:val="16"/>
            <w:szCs w:val="16"/>
          </w:rPr>
          <w:t>https://ec.europa.eu/eurostat/statistics-explained/index.php/Healthy_life_years_statistics#Healthy_life_years_at_birth</w:t>
        </w:r>
      </w:hyperlink>
    </w:p>
  </w:endnote>
  <w:endnote w:id="44">
    <w:p w14:paraId="7370B06A"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Eurostat 2015, </w:t>
      </w:r>
      <w:r w:rsidRPr="00072300">
        <w:rPr>
          <w:rFonts w:ascii="Arial" w:hAnsi="Arial" w:cs="Arial"/>
          <w:i/>
          <w:color w:val="000000" w:themeColor="text1"/>
          <w:sz w:val="16"/>
          <w:szCs w:val="16"/>
        </w:rPr>
        <w:t>Healthy life years and life expectancy at birth</w:t>
      </w:r>
      <w:r w:rsidRPr="00072300">
        <w:rPr>
          <w:rFonts w:ascii="Arial" w:hAnsi="Arial" w:cs="Arial"/>
          <w:color w:val="000000" w:themeColor="text1"/>
          <w:sz w:val="16"/>
          <w:szCs w:val="16"/>
        </w:rPr>
        <w:t xml:space="preserve">; </w:t>
      </w:r>
      <w:r w:rsidRPr="00072300">
        <w:rPr>
          <w:rFonts w:ascii="Arial" w:hAnsi="Arial" w:cs="Arial"/>
          <w:sz w:val="16"/>
          <w:szCs w:val="16"/>
        </w:rPr>
        <w:t xml:space="preserve">(cit. 7. 3. 2018) Dostupné z: </w:t>
      </w:r>
      <w:r w:rsidRPr="00072300">
        <w:rPr>
          <w:rStyle w:val="Hypertextovodkaz"/>
          <w:rFonts w:ascii="Arial" w:hAnsi="Arial" w:cs="Arial"/>
          <w:color w:val="000000" w:themeColor="text1"/>
          <w:sz w:val="16"/>
          <w:szCs w:val="16"/>
        </w:rPr>
        <w:t>http://ec.europa.eu/eurostat/tgm/table.do?tab=table&amp;init=1&amp;language=en&amp;pcode=tsdph100&amp;plugin=1</w:t>
      </w:r>
    </w:p>
  </w:endnote>
  <w:endnote w:id="45">
    <w:p w14:paraId="452CCF90"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ČSÚ, </w:t>
      </w:r>
      <w:r w:rsidRPr="00072300">
        <w:rPr>
          <w:rFonts w:ascii="Arial" w:hAnsi="Arial" w:cs="Arial"/>
          <w:i/>
          <w:sz w:val="16"/>
          <w:szCs w:val="16"/>
        </w:rPr>
        <w:t xml:space="preserve">Souhrnné výsledky zdravotnických účtů, </w:t>
      </w:r>
      <w:proofErr w:type="gramStart"/>
      <w:r w:rsidRPr="00072300">
        <w:rPr>
          <w:rFonts w:ascii="Arial" w:hAnsi="Arial" w:cs="Arial"/>
          <w:i/>
          <w:sz w:val="16"/>
          <w:szCs w:val="16"/>
        </w:rPr>
        <w:t>2010 – 2019</w:t>
      </w:r>
      <w:proofErr w:type="gramEnd"/>
      <w:r w:rsidRPr="00072300">
        <w:rPr>
          <w:rFonts w:ascii="Arial" w:hAnsi="Arial" w:cs="Arial"/>
          <w:i/>
          <w:sz w:val="16"/>
          <w:szCs w:val="16"/>
        </w:rPr>
        <w:t>, (cit. 2021-06-15) Dostupné z: https://www.czso.cz/csu/czso/vysledky-zdravotnickych-uctu-cr-m6hwrlzbbw.</w:t>
      </w:r>
    </w:p>
  </w:endnote>
  <w:endnote w:id="46">
    <w:p w14:paraId="15CECFEF"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EUROSTAT. Praha.  2023, Total general government expenditure on social protection, 2021 (% of GDP) [cit. 2023-04-21] Dostupné z:</w:t>
      </w:r>
      <w:r w:rsidRPr="00072300">
        <w:rPr>
          <w:rFonts w:ascii="Arial" w:hAnsi="Arial" w:cs="Arial"/>
          <w:sz w:val="16"/>
          <w:szCs w:val="16"/>
        </w:rPr>
        <w:t xml:space="preserve"> </w:t>
      </w:r>
      <w:hyperlink r:id="rId32" w:history="1">
        <w:r w:rsidRPr="00072300">
          <w:rPr>
            <w:rStyle w:val="Hypertextovodkaz"/>
            <w:rFonts w:ascii="Arial" w:hAnsi="Arial" w:cs="Arial"/>
            <w:sz w:val="16"/>
            <w:szCs w:val="16"/>
          </w:rPr>
          <w:t>https://ec.europa.eu/eurostat/statistics-explained/index.php?title=File:Total_general_government_expenditure_on_social_protection,_2021_(%25_of_GDP).png</w:t>
        </w:r>
      </w:hyperlink>
      <w:r w:rsidRPr="00072300">
        <w:rPr>
          <w:rFonts w:ascii="Arial" w:hAnsi="Arial" w:cs="Arial"/>
          <w:color w:val="000000" w:themeColor="text1"/>
          <w:sz w:val="16"/>
          <w:szCs w:val="16"/>
        </w:rPr>
        <w:t xml:space="preserve"> </w:t>
      </w:r>
    </w:p>
  </w:endnote>
  <w:endnote w:id="47">
    <w:p w14:paraId="3A0BB3BE"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EUROSTAT. Praha.  2023, Total general government expenditure on social protection, 2021 (% of GDP) [cit. 2023-04-21] Dostupné z:</w:t>
      </w:r>
      <w:r w:rsidRPr="00072300">
        <w:rPr>
          <w:rFonts w:ascii="Arial" w:hAnsi="Arial" w:cs="Arial"/>
          <w:sz w:val="16"/>
          <w:szCs w:val="16"/>
        </w:rPr>
        <w:t xml:space="preserve"> </w:t>
      </w:r>
      <w:hyperlink r:id="rId33" w:history="1">
        <w:r w:rsidRPr="00072300">
          <w:rPr>
            <w:rStyle w:val="Hypertextovodkaz"/>
            <w:rFonts w:ascii="Arial" w:hAnsi="Arial" w:cs="Arial"/>
            <w:sz w:val="16"/>
            <w:szCs w:val="16"/>
          </w:rPr>
          <w:t>https://ec.europa.eu/eurostat/statistics-explained/index.php?title=File:Total_general_government_expenditure_on_social_protection,_2021_(%25_of_GDP).png</w:t>
        </w:r>
      </w:hyperlink>
      <w:r w:rsidRPr="00072300">
        <w:rPr>
          <w:rFonts w:ascii="Arial" w:hAnsi="Arial" w:cs="Arial"/>
          <w:color w:val="000000" w:themeColor="text1"/>
          <w:sz w:val="16"/>
          <w:szCs w:val="16"/>
        </w:rPr>
        <w:t xml:space="preserve"> </w:t>
      </w:r>
    </w:p>
  </w:endnote>
  <w:endnote w:id="48">
    <w:p w14:paraId="4B6C369D" w14:textId="77777777" w:rsidR="00FC6A3E" w:rsidRPr="00072300" w:rsidRDefault="00FC6A3E" w:rsidP="00FC6A3E">
      <w:pPr>
        <w:pStyle w:val="Default"/>
        <w:jc w:val="both"/>
        <w:rPr>
          <w:sz w:val="16"/>
          <w:szCs w:val="16"/>
        </w:rPr>
      </w:pPr>
      <w:r w:rsidRPr="00072300">
        <w:rPr>
          <w:rStyle w:val="Odkaznavysvtlivky"/>
          <w:rFonts w:cs="Arial"/>
          <w:sz w:val="16"/>
          <w:szCs w:val="16"/>
        </w:rPr>
        <w:endnoteRef/>
      </w:r>
      <w:r w:rsidRPr="00072300">
        <w:rPr>
          <w:sz w:val="16"/>
          <w:szCs w:val="16"/>
        </w:rPr>
        <w:t xml:space="preserve"> https://socialnipolitika.eu/2017/04/pecujici-osoby-a-neformalni-pece-narodni-strategie-rozvoje-socialnich-sluzeb-2016-2025/(2007-2014), odd. 652 MPSV (2015-2017), žádný registrovaný poskytovatel 2011-2014 vlastní dopočet (ztráta dat při přechodu na nový IS).  </w:t>
      </w:r>
    </w:p>
  </w:endnote>
  <w:endnote w:id="49">
    <w:p w14:paraId="6D59A7EA"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Ústav sociálních služeb v Praze 4. </w:t>
      </w:r>
      <w:r w:rsidRPr="00072300">
        <w:rPr>
          <w:rFonts w:ascii="Arial" w:hAnsi="Arial" w:cs="Arial"/>
          <w:i/>
          <w:iCs/>
          <w:sz w:val="16"/>
          <w:szCs w:val="16"/>
        </w:rPr>
        <w:t>2. ŘÍJNA JE DEN PEČUJÍCÍCH</w:t>
      </w:r>
      <w:r w:rsidRPr="00072300">
        <w:rPr>
          <w:rFonts w:ascii="Arial" w:hAnsi="Arial" w:cs="Arial"/>
          <w:sz w:val="16"/>
          <w:szCs w:val="16"/>
        </w:rPr>
        <w:t xml:space="preserve">. 2022. [cit. 2023-04-20] Dostupné z: </w:t>
      </w:r>
      <w:hyperlink r:id="rId34" w:history="1">
        <w:r w:rsidRPr="00072300">
          <w:rPr>
            <w:rStyle w:val="Hypertextovodkaz"/>
            <w:rFonts w:ascii="Arial" w:hAnsi="Arial" w:cs="Arial"/>
            <w:sz w:val="16"/>
            <w:szCs w:val="16"/>
          </w:rPr>
          <w:t>https://uss4.cz/2-rijna-je-den-pecujicich/</w:t>
        </w:r>
      </w:hyperlink>
      <w:r w:rsidRPr="00072300">
        <w:rPr>
          <w:rFonts w:ascii="Arial" w:hAnsi="Arial" w:cs="Arial"/>
          <w:sz w:val="16"/>
          <w:szCs w:val="16"/>
        </w:rPr>
        <w:t xml:space="preserve"> </w:t>
      </w:r>
    </w:p>
  </w:endnote>
  <w:endnote w:id="50">
    <w:p w14:paraId="238BA61C"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Fond dalšího vzdělávání, dostupné z </w:t>
      </w:r>
      <w:hyperlink r:id="rId35" w:history="1">
        <w:r w:rsidRPr="00072300">
          <w:rPr>
            <w:rStyle w:val="Hypertextovodkaz"/>
            <w:rFonts w:ascii="Arial" w:hAnsi="Arial" w:cs="Arial"/>
            <w:sz w:val="16"/>
            <w:szCs w:val="16"/>
          </w:rPr>
          <w:t>http://www.fdv.cz/data/original/fotografie/zaverecna-zprava_neformalni-pecujici_fin.pdf</w:t>
        </w:r>
      </w:hyperlink>
      <w:r w:rsidRPr="00072300">
        <w:rPr>
          <w:rFonts w:ascii="Arial" w:hAnsi="Arial" w:cs="Arial"/>
          <w:sz w:val="16"/>
          <w:szCs w:val="16"/>
        </w:rPr>
        <w:t xml:space="preserve"> (cit. 26. 9. 2018).</w:t>
      </w:r>
    </w:p>
  </w:endnote>
  <w:endnote w:id="51">
    <w:p w14:paraId="3F703B71"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Národní strategie rozvoje sociálních služeb na období </w:t>
      </w:r>
      <w:proofErr w:type="gramStart"/>
      <w:r w:rsidRPr="00072300">
        <w:rPr>
          <w:rFonts w:ascii="Arial" w:hAnsi="Arial" w:cs="Arial"/>
          <w:color w:val="000000" w:themeColor="text1"/>
          <w:sz w:val="16"/>
          <w:szCs w:val="16"/>
        </w:rPr>
        <w:t>2016 – 2025</w:t>
      </w:r>
      <w:proofErr w:type="gramEnd"/>
      <w:r w:rsidRPr="00072300">
        <w:rPr>
          <w:rFonts w:ascii="Arial" w:hAnsi="Arial" w:cs="Arial"/>
          <w:color w:val="000000" w:themeColor="text1"/>
          <w:sz w:val="16"/>
          <w:szCs w:val="16"/>
        </w:rPr>
        <w:t>, MPSV, str. 28.</w:t>
      </w:r>
    </w:p>
  </w:endnote>
  <w:endnote w:id="52">
    <w:p w14:paraId="5F18C347" w14:textId="77777777" w:rsidR="00FC6A3E" w:rsidRPr="00072300" w:rsidRDefault="00FC6A3E" w:rsidP="00FC6A3E">
      <w:pPr>
        <w:pStyle w:val="Textvysvtlivek"/>
        <w:jc w:val="left"/>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MPSV. 2018. Informace o vyplacených dávkách v prosinci 2018; +vlastní data. [cit. 2019-05-21] Dostupné z: https://www.mpsv.cz/files/clanky/35497/Informace_o_vyplacenych_davkach_v_breznu_2019.pdf.</w:t>
      </w:r>
    </w:p>
  </w:endnote>
  <w:endnote w:id="53">
    <w:p w14:paraId="4FA52B87" w14:textId="77777777" w:rsidR="00C74307" w:rsidRPr="00072300" w:rsidRDefault="00C74307" w:rsidP="00C74307">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FDV: projekt s názvem Podpora neformálních pečovatelů, Registrační číslo projektu: CZ 1.04/3.1.00/C6.00002.</w:t>
      </w:r>
    </w:p>
  </w:endnote>
  <w:endnote w:id="54">
    <w:p w14:paraId="0864E293" w14:textId="3260C122" w:rsidR="00A76E8F" w:rsidRDefault="00A76E8F">
      <w:pPr>
        <w:pStyle w:val="Textvysvtlivek"/>
      </w:pPr>
      <w:r>
        <w:rPr>
          <w:rStyle w:val="Odkaznavysvtlivky"/>
        </w:rPr>
        <w:endnoteRef/>
      </w:r>
      <w:r>
        <w:t xml:space="preserve"> </w:t>
      </w:r>
      <w:r w:rsidRPr="00A76E8F">
        <w:t>https://www.statistikaamy.cz/2022/05/18/seniori-na-trhu-prace-uplatnuji-svou-kvalifikaci</w:t>
      </w:r>
    </w:p>
  </w:endnote>
  <w:endnote w:id="55">
    <w:p w14:paraId="5B54B73F" w14:textId="77777777" w:rsidR="00FC6A3E" w:rsidRPr="00072300" w:rsidRDefault="00FC6A3E" w:rsidP="00FC6A3E">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Asociace univerzit třetího věku ČR, Ing. Martina Polášková viceprezidentka. MPSV 2022, emailová korespondence. [cit. 2022-11-4].</w:t>
      </w:r>
    </w:p>
  </w:endnote>
  <w:endnote w:id="56">
    <w:p w14:paraId="33BF8A3D" w14:textId="77777777" w:rsidR="00FC6A3E" w:rsidRPr="00072300" w:rsidRDefault="00FC6A3E" w:rsidP="00FC6A3E">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sz w:val="16"/>
          <w:szCs w:val="16"/>
        </w:rPr>
        <w:t xml:space="preserve"> ČSÚ. Příjmy a životní podmínky domácností – 2022. </w:t>
      </w:r>
      <w:r w:rsidRPr="00072300">
        <w:rPr>
          <w:rFonts w:ascii="Arial" w:hAnsi="Arial" w:cs="Arial"/>
          <w:i/>
          <w:iCs/>
          <w:color w:val="000000"/>
          <w:sz w:val="16"/>
          <w:szCs w:val="16"/>
        </w:rPr>
        <w:t>Český statistický úřad</w:t>
      </w:r>
      <w:r w:rsidRPr="00072300">
        <w:rPr>
          <w:rFonts w:ascii="Arial" w:hAnsi="Arial" w:cs="Arial"/>
          <w:color w:val="000000"/>
          <w:sz w:val="16"/>
          <w:szCs w:val="16"/>
        </w:rPr>
        <w:t xml:space="preserve"> [online]. Dostupné z: </w:t>
      </w:r>
      <w:hyperlink r:id="rId36" w:history="1">
        <w:r w:rsidRPr="00072300">
          <w:rPr>
            <w:rStyle w:val="Hypertextovodkaz"/>
            <w:rFonts w:ascii="Arial" w:hAnsi="Arial" w:cs="Arial"/>
            <w:sz w:val="16"/>
            <w:szCs w:val="16"/>
          </w:rPr>
          <w:t>https://www.czso.cz/csu/czso/prijmy-a-zivotni-podminky-domacnosti-7isum3msez</w:t>
        </w:r>
      </w:hyperlink>
      <w:r w:rsidRPr="00072300">
        <w:rPr>
          <w:rFonts w:ascii="Arial" w:hAnsi="Arial" w:cs="Arial"/>
          <w:color w:val="000000"/>
          <w:sz w:val="16"/>
          <w:szCs w:val="16"/>
        </w:rPr>
        <w:t>.</w:t>
      </w:r>
    </w:p>
  </w:endnote>
  <w:endnote w:id="57">
    <w:p w14:paraId="335D1032" w14:textId="77777777" w:rsidR="00FC6A3E" w:rsidRPr="00072300" w:rsidRDefault="00FC6A3E" w:rsidP="00FC6A3E">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ŠPATENKOVÁ, Naděžda a Lucie SMÉKALOVÁ. </w:t>
      </w:r>
      <w:r w:rsidRPr="00072300">
        <w:rPr>
          <w:rFonts w:ascii="Arial" w:hAnsi="Arial" w:cs="Arial"/>
          <w:i/>
          <w:iCs/>
          <w:color w:val="000000" w:themeColor="text1"/>
          <w:sz w:val="16"/>
          <w:szCs w:val="16"/>
        </w:rPr>
        <w:t>Edukace seniorů: Geragogika a gerontodidaktika</w:t>
      </w:r>
      <w:r w:rsidRPr="00072300">
        <w:rPr>
          <w:rFonts w:ascii="Arial" w:hAnsi="Arial" w:cs="Arial"/>
          <w:color w:val="000000" w:themeColor="text1"/>
          <w:sz w:val="16"/>
          <w:szCs w:val="16"/>
        </w:rPr>
        <w:t>. Praha: Grada, 2015. ISBN 978-80-247-5446-8</w:t>
      </w:r>
    </w:p>
  </w:endnote>
  <w:endnote w:id="58">
    <w:p w14:paraId="14430EAE" w14:textId="77777777" w:rsidR="00FC6A3E" w:rsidRPr="00072300" w:rsidRDefault="00FC6A3E" w:rsidP="00FC6A3E">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ČSÚ Statistika sportu: základní ukazatele - 2019 [online]. [cit. 2021-05-30]. Dostupné z: https://www.czso.cz/csu/czso/statistika-sportu-zakladni-ukazatele-2019</w:t>
      </w:r>
    </w:p>
  </w:endnote>
  <w:endnote w:id="59">
    <w:p w14:paraId="6B96EBBF" w14:textId="77777777" w:rsidR="00FC6A3E" w:rsidRPr="00072300" w:rsidRDefault="00FC6A3E" w:rsidP="00FC6A3E">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Pr="00072300">
        <w:rPr>
          <w:rFonts w:ascii="Arial" w:hAnsi="Arial" w:cs="Arial"/>
          <w:color w:val="000000" w:themeColor="text1"/>
          <w:sz w:val="16"/>
          <w:szCs w:val="16"/>
        </w:rPr>
        <w:t xml:space="preserve">§ 132 odst. 3 písm. e) zákona č. 183/2006 Sb., o územním plánování a stavebním řádu (stavební zákon), ve znění k 14. 2. 2018. In: </w:t>
      </w:r>
      <w:r w:rsidRPr="00072300">
        <w:rPr>
          <w:rStyle w:val="Zdraznn"/>
          <w:rFonts w:ascii="Arial" w:hAnsi="Arial" w:cs="Arial"/>
          <w:color w:val="000000" w:themeColor="text1"/>
          <w:sz w:val="16"/>
          <w:szCs w:val="16"/>
        </w:rPr>
        <w:t>ASPI verze 2017</w:t>
      </w:r>
      <w:r w:rsidRPr="00072300">
        <w:rPr>
          <w:rStyle w:val="apple-converted-space"/>
          <w:rFonts w:ascii="Arial" w:hAnsi="Arial" w:cs="Arial"/>
          <w:iCs/>
          <w:color w:val="000000" w:themeColor="text1"/>
          <w:sz w:val="16"/>
          <w:szCs w:val="16"/>
        </w:rPr>
        <w:t> </w:t>
      </w:r>
      <w:r w:rsidRPr="00072300">
        <w:rPr>
          <w:rFonts w:ascii="Arial" w:hAnsi="Arial" w:cs="Arial"/>
          <w:color w:val="000000" w:themeColor="text1"/>
          <w:sz w:val="16"/>
          <w:szCs w:val="16"/>
        </w:rPr>
        <w:t>[právní informační systém]. Wolters Kluwer ČR, © 2000-2018 [cit.</w:t>
      </w:r>
      <w:r w:rsidRPr="00072300">
        <w:rPr>
          <w:rFonts w:ascii="Arial" w:hAnsi="Arial" w:cs="Arial"/>
          <w:color w:val="000000" w:themeColor="text1"/>
          <w:sz w:val="16"/>
          <w:szCs w:val="16"/>
          <w:lang w:val="es-ES"/>
        </w:rPr>
        <w:t xml:space="preserve"> 2018-02-14</w:t>
      </w:r>
      <w:r w:rsidRPr="00072300">
        <w:rPr>
          <w:rFonts w:ascii="Arial" w:hAnsi="Arial" w:cs="Arial"/>
          <w:color w:val="000000" w:themeColor="text1"/>
          <w:sz w:val="16"/>
          <w:szCs w:val="16"/>
        </w:rPr>
        <w:t>].</w:t>
      </w:r>
    </w:p>
  </w:endnote>
  <w:endnote w:id="60">
    <w:p w14:paraId="071F6636" w14:textId="650C6C62" w:rsidR="00DB0C93" w:rsidRPr="00072300" w:rsidRDefault="00DB0C93" w:rsidP="008F7974">
      <w:pPr>
        <w:pStyle w:val="Nadpis1"/>
        <w:shd w:val="clear" w:color="auto" w:fill="FAFAFA"/>
        <w:spacing w:before="0" w:line="266" w:lineRule="atLeast"/>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008F7974">
        <w:rPr>
          <w:rFonts w:ascii="Arial" w:hAnsi="Arial" w:cs="Arial"/>
          <w:sz w:val="16"/>
          <w:szCs w:val="16"/>
        </w:rPr>
        <w:t xml:space="preserve">Lucie Vidovičová, Zdeněk Kalvach, Jan Lorman, Jaroslava Prchalová. </w:t>
      </w:r>
      <w:r w:rsidR="008F7974" w:rsidRPr="008F7974">
        <w:rPr>
          <w:rFonts w:ascii="Arial" w:eastAsia="Calibri" w:hAnsi="Arial" w:cs="Arial"/>
          <w:color w:val="000000" w:themeColor="text1"/>
          <w:sz w:val="16"/>
          <w:szCs w:val="16"/>
        </w:rPr>
        <w:t>Metodika Široká definice a typologie seniorského abusu: fenomén týrání, zneužívání, zanedbávání a dalšího nevhodného jednání a zacházení s muži a ženami ve vyšším věku (EAN) Komentovaný průvodce ver. 1.0 Podklad pro veřejnou konzultaci (1. 1. 2023 – 30. 6. 2023)</w:t>
      </w:r>
      <w:r w:rsidR="008F7974">
        <w:rPr>
          <w:rFonts w:ascii="Arial" w:eastAsia="Calibri" w:hAnsi="Arial" w:cs="Arial"/>
          <w:color w:val="000000" w:themeColor="text1"/>
          <w:sz w:val="16"/>
          <w:szCs w:val="16"/>
        </w:rPr>
        <w:t xml:space="preserve">. </w:t>
      </w:r>
      <w:r w:rsidR="008F7974" w:rsidRPr="00072300">
        <w:rPr>
          <w:rFonts w:ascii="Arial" w:hAnsi="Arial" w:cs="Arial"/>
          <w:sz w:val="16"/>
          <w:szCs w:val="16"/>
        </w:rPr>
        <w:t>202</w:t>
      </w:r>
      <w:r w:rsidR="008F7974">
        <w:rPr>
          <w:rFonts w:ascii="Arial" w:hAnsi="Arial" w:cs="Arial"/>
          <w:sz w:val="16"/>
          <w:szCs w:val="16"/>
        </w:rPr>
        <w:t>2</w:t>
      </w:r>
      <w:r w:rsidR="008F7974" w:rsidRPr="00072300">
        <w:rPr>
          <w:rFonts w:ascii="Arial" w:hAnsi="Arial" w:cs="Arial"/>
          <w:sz w:val="16"/>
          <w:szCs w:val="16"/>
        </w:rPr>
        <w:t>. [cit. 2023-0</w:t>
      </w:r>
      <w:r w:rsidR="008F7974">
        <w:rPr>
          <w:rFonts w:ascii="Arial" w:hAnsi="Arial" w:cs="Arial"/>
          <w:sz w:val="16"/>
          <w:szCs w:val="16"/>
        </w:rPr>
        <w:t>5</w:t>
      </w:r>
      <w:r w:rsidR="008F7974" w:rsidRPr="00072300">
        <w:rPr>
          <w:rFonts w:ascii="Arial" w:hAnsi="Arial" w:cs="Arial"/>
          <w:sz w:val="16"/>
          <w:szCs w:val="16"/>
        </w:rPr>
        <w:t>-</w:t>
      </w:r>
      <w:r w:rsidR="008F7974">
        <w:rPr>
          <w:rFonts w:ascii="Arial" w:hAnsi="Arial" w:cs="Arial"/>
          <w:sz w:val="16"/>
          <w:szCs w:val="16"/>
        </w:rPr>
        <w:t>09</w:t>
      </w:r>
      <w:r w:rsidR="008F7974" w:rsidRPr="00072300">
        <w:rPr>
          <w:rFonts w:ascii="Arial" w:hAnsi="Arial" w:cs="Arial"/>
          <w:sz w:val="16"/>
          <w:szCs w:val="16"/>
        </w:rPr>
        <w:t xml:space="preserve">] </w:t>
      </w:r>
      <w:r w:rsidR="008F7974">
        <w:rPr>
          <w:rFonts w:ascii="Arial" w:eastAsia="Calibri" w:hAnsi="Arial" w:cs="Arial"/>
          <w:color w:val="000000" w:themeColor="text1"/>
          <w:sz w:val="16"/>
          <w:szCs w:val="16"/>
        </w:rPr>
        <w:t xml:space="preserve">Dostupné z: </w:t>
      </w:r>
      <w:hyperlink r:id="rId37" w:history="1">
        <w:r w:rsidR="008F7974" w:rsidRPr="008F7974">
          <w:rPr>
            <w:rStyle w:val="Hypertextovodkaz"/>
            <w:rFonts w:ascii="Arial" w:eastAsia="Calibri" w:hAnsi="Arial" w:cs="Arial"/>
            <w:sz w:val="16"/>
            <w:szCs w:val="16"/>
          </w:rPr>
          <w:t>https://www.fss.muni.cz/vyzkum/publikace/prehled/2242717</w:t>
        </w:r>
      </w:hyperlink>
    </w:p>
  </w:endnote>
  <w:endnote w:id="61">
    <w:p w14:paraId="7D5D02C0" w14:textId="291EFC06" w:rsidR="00DB0C93" w:rsidRPr="00072300" w:rsidRDefault="00DB0C93" w:rsidP="00DB0C93">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 </w:t>
      </w:r>
      <w:r w:rsidR="008F7974">
        <w:rPr>
          <w:rFonts w:ascii="Arial" w:hAnsi="Arial" w:cs="Arial"/>
          <w:sz w:val="16"/>
          <w:szCs w:val="16"/>
        </w:rPr>
        <w:t xml:space="preserve">Lucie Vidovičová, Zdeněk Kalvach, Jan Lorman, Jaroslava Prchalová. </w:t>
      </w:r>
      <w:r w:rsidR="008F7974" w:rsidRPr="008F7974">
        <w:rPr>
          <w:rFonts w:ascii="Arial" w:hAnsi="Arial" w:cs="Arial"/>
          <w:color w:val="000000" w:themeColor="text1"/>
          <w:sz w:val="16"/>
          <w:szCs w:val="16"/>
        </w:rPr>
        <w:t>Metodika Široká definice a typologie seniorského abusu: fenomén týrání, zneužívání, zanedbávání a dalšího nevhodného jednání a zacházení s muži a ženami ve vyšším věku (EAN) Komentovaný průvodce ver. 1.0 Podklad pro veřejnou konzultaci (1. 1. 2023 – 30. 6. 2023)</w:t>
      </w:r>
      <w:r w:rsidR="008F7974">
        <w:rPr>
          <w:rFonts w:ascii="Arial" w:hAnsi="Arial" w:cs="Arial"/>
          <w:color w:val="000000" w:themeColor="text1"/>
          <w:sz w:val="16"/>
          <w:szCs w:val="16"/>
        </w:rPr>
        <w:t xml:space="preserve">. </w:t>
      </w:r>
      <w:r w:rsidR="008F7974" w:rsidRPr="00072300">
        <w:rPr>
          <w:rFonts w:ascii="Arial" w:hAnsi="Arial" w:cs="Arial"/>
          <w:sz w:val="16"/>
          <w:szCs w:val="16"/>
        </w:rPr>
        <w:t>202</w:t>
      </w:r>
      <w:r w:rsidR="008F7974">
        <w:rPr>
          <w:rFonts w:ascii="Arial" w:hAnsi="Arial" w:cs="Arial"/>
          <w:sz w:val="16"/>
          <w:szCs w:val="16"/>
        </w:rPr>
        <w:t>2</w:t>
      </w:r>
      <w:r w:rsidR="008F7974" w:rsidRPr="00072300">
        <w:rPr>
          <w:rFonts w:ascii="Arial" w:hAnsi="Arial" w:cs="Arial"/>
          <w:sz w:val="16"/>
          <w:szCs w:val="16"/>
        </w:rPr>
        <w:t>. [cit. 2023-0</w:t>
      </w:r>
      <w:r w:rsidR="008F7974">
        <w:rPr>
          <w:rFonts w:ascii="Arial" w:hAnsi="Arial" w:cs="Arial"/>
          <w:sz w:val="16"/>
          <w:szCs w:val="16"/>
        </w:rPr>
        <w:t>5</w:t>
      </w:r>
      <w:r w:rsidR="008F7974" w:rsidRPr="00072300">
        <w:rPr>
          <w:rFonts w:ascii="Arial" w:hAnsi="Arial" w:cs="Arial"/>
          <w:sz w:val="16"/>
          <w:szCs w:val="16"/>
        </w:rPr>
        <w:t>-0</w:t>
      </w:r>
      <w:r w:rsidR="008F7974">
        <w:rPr>
          <w:rFonts w:ascii="Arial" w:hAnsi="Arial" w:cs="Arial"/>
          <w:sz w:val="16"/>
          <w:szCs w:val="16"/>
        </w:rPr>
        <w:t>9</w:t>
      </w:r>
      <w:r w:rsidR="008F7974" w:rsidRPr="00072300">
        <w:rPr>
          <w:rFonts w:ascii="Arial" w:hAnsi="Arial" w:cs="Arial"/>
          <w:sz w:val="16"/>
          <w:szCs w:val="16"/>
        </w:rPr>
        <w:t xml:space="preserve">] </w:t>
      </w:r>
      <w:r w:rsidR="008F7974">
        <w:rPr>
          <w:rFonts w:ascii="Arial" w:hAnsi="Arial" w:cs="Arial"/>
          <w:color w:val="000000" w:themeColor="text1"/>
          <w:sz w:val="16"/>
          <w:szCs w:val="16"/>
        </w:rPr>
        <w:t xml:space="preserve">Dostupné z: </w:t>
      </w:r>
      <w:hyperlink r:id="rId38" w:history="1">
        <w:r w:rsidR="008F7974" w:rsidRPr="008F7974">
          <w:rPr>
            <w:rStyle w:val="Hypertextovodkaz"/>
            <w:rFonts w:ascii="Arial" w:hAnsi="Arial" w:cs="Arial"/>
            <w:sz w:val="16"/>
            <w:szCs w:val="16"/>
          </w:rPr>
          <w:t>https://www.fss.muni.cz/vyzkum/publikace/prehled/2242717</w:t>
        </w:r>
      </w:hyperlink>
      <w:r w:rsidRPr="00072300">
        <w:rPr>
          <w:rFonts w:ascii="Arial" w:hAnsi="Arial" w:cs="Arial"/>
          <w:color w:val="000000" w:themeColor="text1"/>
          <w:sz w:val="16"/>
          <w:szCs w:val="16"/>
        </w:rPr>
        <w:t>.</w:t>
      </w:r>
    </w:p>
  </w:endnote>
  <w:endnote w:id="62">
    <w:p w14:paraId="10D2051F"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Diskriminace v ČR: oběť diskriminace a její překážky v přístupu ke spravedlnosti. Kancelář veřejného ochránce práv. 2015. </w:t>
      </w:r>
      <w:r w:rsidRPr="00072300">
        <w:rPr>
          <w:rFonts w:ascii="Arial" w:hAnsi="Arial" w:cs="Arial"/>
          <w:color w:val="000000" w:themeColor="text1"/>
          <w:sz w:val="16"/>
          <w:szCs w:val="16"/>
        </w:rPr>
        <w:t xml:space="preserve">[cit. 2019-07-12]. Dostupné z: </w:t>
      </w:r>
      <w:r w:rsidRPr="00072300">
        <w:rPr>
          <w:rFonts w:ascii="Arial" w:hAnsi="Arial" w:cs="Arial"/>
          <w:sz w:val="16"/>
          <w:szCs w:val="16"/>
        </w:rPr>
        <w:t>https://www.ochrance.cz/fileadmin/user_upload/ESO/CZ_Diskriminace_v_CR_vyzkum_01.pdf</w:t>
      </w:r>
    </w:p>
  </w:endnote>
  <w:endnote w:id="63">
    <w:p w14:paraId="641B3F51"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VIDOVICOVÁ, Lucie a VYHLÍDAL, Jiří. Nekalé obchodní praktiky a senioři. Fórum sociální politiky, 8/2014 </w:t>
      </w:r>
      <w:r w:rsidRPr="00072300">
        <w:rPr>
          <w:rFonts w:ascii="Arial" w:hAnsi="Arial" w:cs="Arial"/>
          <w:color w:val="000000"/>
          <w:sz w:val="16"/>
          <w:szCs w:val="16"/>
        </w:rPr>
        <w:t>[cit. 2019-07-11]. Dostupné z: https://www.researchgate.net/publication/302874255_Nekale_obchodni_praktiky_a_seniori.</w:t>
      </w:r>
    </w:p>
  </w:endnote>
  <w:endnote w:id="64">
    <w:p w14:paraId="0458FB18"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Výzkum: Proč senioři stále navštěvují předváděcí akce. </w:t>
      </w:r>
      <w:r w:rsidRPr="00072300">
        <w:rPr>
          <w:rFonts w:ascii="Arial" w:hAnsi="Arial" w:cs="Arial"/>
          <w:color w:val="000000" w:themeColor="text1"/>
          <w:sz w:val="16"/>
          <w:szCs w:val="16"/>
        </w:rPr>
        <w:t>2016 [cit. 2019-07-11]. Dostupné z:</w:t>
      </w:r>
      <w:r w:rsidRPr="00072300">
        <w:rPr>
          <w:rFonts w:ascii="Arial" w:hAnsi="Arial" w:cs="Arial"/>
          <w:sz w:val="16"/>
          <w:szCs w:val="16"/>
        </w:rPr>
        <w:t xml:space="preserve"> https://www.dtest.cz/clanek-5085/vyzkum-proc-seniori-stale-navstevuji-predvadeci-akce</w:t>
      </w:r>
    </w:p>
  </w:endnote>
  <w:endnote w:id="65">
    <w:p w14:paraId="64A57413" w14:textId="77777777" w:rsidR="001E0755" w:rsidRPr="00072300" w:rsidRDefault="001E0755" w:rsidP="001E0755">
      <w:pPr>
        <w:spacing w:after="0" w:line="240" w:lineRule="auto"/>
        <w:jc w:val="both"/>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Výzkum o domácím násilí na seniorech provedla v roce 2005 Jihočeská univerzita. Dostupné z: </w:t>
      </w:r>
      <w:hyperlink r:id="rId39" w:history="1">
        <w:r w:rsidRPr="00072300">
          <w:rPr>
            <w:rStyle w:val="Hypertextovodkaz"/>
            <w:rFonts w:ascii="Arial" w:hAnsi="Arial" w:cs="Arial"/>
            <w:color w:val="000000" w:themeColor="text1"/>
            <w:sz w:val="16"/>
            <w:szCs w:val="16"/>
          </w:rPr>
          <w:t>http://casopis-zsfju.zsf.jcu.cz/prevence-urazu-otrav-a-nasili/clanky/2~2005/78-domaci-nasili-a-seniori</w:t>
        </w:r>
      </w:hyperlink>
    </w:p>
  </w:endnote>
  <w:endnote w:id="66">
    <w:p w14:paraId="3A62EB1F"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sz w:val="16"/>
          <w:szCs w:val="16"/>
        </w:rPr>
        <w:t xml:space="preserve">Analýza kvality života seniorů v České republice. </w:t>
      </w:r>
      <w:r w:rsidRPr="00072300">
        <w:rPr>
          <w:rFonts w:ascii="Arial" w:hAnsi="Arial" w:cs="Arial"/>
          <w:i/>
          <w:iCs/>
          <w:color w:val="000000"/>
          <w:sz w:val="16"/>
          <w:szCs w:val="16"/>
        </w:rPr>
        <w:t>Ministerstvo práce a sociálních věcí</w:t>
      </w:r>
      <w:r w:rsidRPr="00072300">
        <w:rPr>
          <w:rFonts w:ascii="Arial" w:hAnsi="Arial" w:cs="Arial"/>
          <w:color w:val="000000"/>
          <w:sz w:val="16"/>
          <w:szCs w:val="16"/>
        </w:rPr>
        <w:t xml:space="preserve"> [online]. Brno: Mendelova univerzita v Brně, 2016 [cit. 2018-02-21]. Dostupné z: https://www.mpsv.cz/files/clanky/32821/Kvalita_zivota_senioru_-_finalni_verze.pdf</w:t>
      </w:r>
    </w:p>
  </w:endnote>
  <w:endnote w:id="67">
    <w:p w14:paraId="7FE2E584"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sz w:val="16"/>
          <w:szCs w:val="16"/>
        </w:rPr>
        <w:t xml:space="preserve">MindBridge Consulting a.s. </w:t>
      </w:r>
      <w:r w:rsidRPr="00072300">
        <w:rPr>
          <w:rFonts w:ascii="Arial" w:hAnsi="Arial" w:cs="Arial"/>
          <w:color w:val="auto"/>
          <w:sz w:val="16"/>
          <w:szCs w:val="16"/>
        </w:rPr>
        <w:t>Analytická zpráva výzkumu Realizace kvantitativního výzkumu – životní postoje a preference seniorů. 2020 [cit. 2021-06-02].</w:t>
      </w:r>
    </w:p>
  </w:endnote>
  <w:endnote w:id="68">
    <w:p w14:paraId="3E8BF050"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 xml:space="preserve">Sebevraždy podle pohlaví a věku v letech 1945–2016. </w:t>
      </w:r>
      <w:r w:rsidRPr="00072300">
        <w:rPr>
          <w:rFonts w:ascii="Arial" w:hAnsi="Arial" w:cs="Arial"/>
          <w:i/>
          <w:iCs/>
          <w:color w:val="000000" w:themeColor="text1"/>
          <w:sz w:val="16"/>
          <w:szCs w:val="16"/>
        </w:rPr>
        <w:t>ČSÚ</w:t>
      </w:r>
      <w:r w:rsidRPr="00072300">
        <w:rPr>
          <w:rFonts w:ascii="Arial" w:hAnsi="Arial" w:cs="Arial"/>
          <w:color w:val="000000" w:themeColor="text1"/>
          <w:sz w:val="16"/>
          <w:szCs w:val="16"/>
        </w:rPr>
        <w:t xml:space="preserve"> [online]. 2017 [cit. 2018-01-23]. Dostupné z: </w:t>
      </w:r>
      <w:hyperlink r:id="rId40" w:history="1">
        <w:r w:rsidRPr="00072300">
          <w:rPr>
            <w:rStyle w:val="Hypertextovodkaz"/>
            <w:rFonts w:ascii="Arial" w:hAnsi="Arial" w:cs="Arial"/>
            <w:sz w:val="16"/>
            <w:szCs w:val="16"/>
          </w:rPr>
          <w:t>https://www.czso.cz/documents/10180/45948568/130055170808.pdf/f5b38b65-0</w:t>
        </w:r>
      </w:hyperlink>
    </w:p>
  </w:endnote>
  <w:endnote w:id="69">
    <w:p w14:paraId="198F148B" w14:textId="77777777" w:rsidR="001E0755" w:rsidRPr="00072300" w:rsidRDefault="001E0755" w:rsidP="001E0755">
      <w:pPr>
        <w:pStyle w:val="Nadpis1"/>
        <w:spacing w:before="0"/>
        <w:rPr>
          <w:rFonts w:ascii="Arial" w:hAnsi="Arial" w:cs="Arial"/>
          <w:sz w:val="16"/>
          <w:szCs w:val="16"/>
        </w:rPr>
      </w:pPr>
      <w:r w:rsidRPr="00072300">
        <w:rPr>
          <w:rStyle w:val="Odkaznavysvtlivky"/>
          <w:rFonts w:ascii="Arial" w:eastAsia="Calibri" w:hAnsi="Arial" w:cs="Arial"/>
          <w:color w:val="0D0D0D"/>
          <w:sz w:val="16"/>
          <w:szCs w:val="16"/>
        </w:rPr>
        <w:endnoteRef/>
      </w:r>
      <w:r w:rsidRPr="00072300">
        <w:rPr>
          <w:rFonts w:ascii="Arial" w:eastAsia="Calibri" w:hAnsi="Arial" w:cs="Arial"/>
          <w:color w:val="000000" w:themeColor="text1"/>
          <w:sz w:val="16"/>
          <w:szCs w:val="16"/>
        </w:rPr>
        <w:t>Zemřelí podle seznamu příčin smrti, pohlaví a věku v ČR, krajích a okresech - 2010 až 2019 ČSÚ [online]. 2020 [cit. 2021-05-30]. Dostupné z: https://www.czso.cz/csu/czso/ceska-republika-podle-pohlavi-a-veku-2010-2019</w:t>
      </w:r>
    </w:p>
  </w:endnote>
  <w:endnote w:id="70">
    <w:p w14:paraId="2113C60E" w14:textId="77777777" w:rsidR="001E0755" w:rsidRPr="00072300" w:rsidRDefault="001E0755" w:rsidP="001E0755">
      <w:pPr>
        <w:pStyle w:val="Textvysvtlivek"/>
        <w:rPr>
          <w:rFonts w:ascii="Arial" w:hAnsi="Arial" w:cs="Arial"/>
          <w:sz w:val="16"/>
          <w:szCs w:val="16"/>
        </w:rPr>
      </w:pPr>
      <w:r w:rsidRPr="00072300">
        <w:rPr>
          <w:rStyle w:val="Odkaznavysvtlivky"/>
          <w:rFonts w:ascii="Arial" w:hAnsi="Arial" w:cs="Arial"/>
          <w:sz w:val="16"/>
          <w:szCs w:val="16"/>
        </w:rPr>
        <w:endnoteRef/>
      </w:r>
      <w:r w:rsidRPr="00072300">
        <w:rPr>
          <w:rFonts w:ascii="Arial" w:hAnsi="Arial" w:cs="Arial"/>
          <w:color w:val="000000" w:themeColor="text1"/>
          <w:sz w:val="16"/>
          <w:szCs w:val="16"/>
        </w:rPr>
        <w:t>Starci na netu. Výzkumná zpráva 2018. [cit. 2019-07-11]. Dostupné z:</w:t>
      </w:r>
      <w:r w:rsidRPr="00072300">
        <w:rPr>
          <w:rFonts w:ascii="Arial" w:hAnsi="Arial" w:cs="Arial"/>
          <w:sz w:val="16"/>
          <w:szCs w:val="16"/>
        </w:rPr>
        <w:t xml:space="preserve"> </w:t>
      </w:r>
      <w:r w:rsidRPr="00072300">
        <w:rPr>
          <w:rFonts w:ascii="Arial" w:hAnsi="Arial" w:cs="Arial"/>
          <w:color w:val="000000" w:themeColor="text1"/>
          <w:sz w:val="16"/>
          <w:szCs w:val="16"/>
        </w:rPr>
        <w:t>https://www.e-bezpeci.cz/index.php/ke-stazeni/vyzkumne-zpravy/102-starci-na-netu-2017-2018/file.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70850"/>
      <w:docPartObj>
        <w:docPartGallery w:val="Page Numbers (Bottom of Page)"/>
        <w:docPartUnique/>
      </w:docPartObj>
    </w:sdtPr>
    <w:sdtEndPr/>
    <w:sdtContent>
      <w:p w14:paraId="2879CC8E" w14:textId="77777777" w:rsidR="00426A7F" w:rsidRDefault="00426A7F">
        <w:pPr>
          <w:pStyle w:val="Zpat"/>
          <w:jc w:val="center"/>
        </w:pPr>
        <w:r>
          <w:fldChar w:fldCharType="begin"/>
        </w:r>
        <w:r>
          <w:instrText>PAGE   \* MERGEFORMAT</w:instrText>
        </w:r>
        <w:r>
          <w:fldChar w:fldCharType="separate"/>
        </w:r>
        <w:r>
          <w:rPr>
            <w:noProof/>
          </w:rPr>
          <w:t>1</w:t>
        </w:r>
        <w:r>
          <w:fldChar w:fldCharType="end"/>
        </w:r>
      </w:p>
    </w:sdtContent>
  </w:sdt>
  <w:p w14:paraId="63A934E2" w14:textId="77777777" w:rsidR="00426A7F" w:rsidRDefault="00426A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15E6" w14:textId="77777777" w:rsidR="003B1B01" w:rsidRDefault="003B1B01" w:rsidP="003D131F">
      <w:pPr>
        <w:spacing w:after="0" w:line="240" w:lineRule="auto"/>
      </w:pPr>
      <w:r>
        <w:separator/>
      </w:r>
    </w:p>
  </w:footnote>
  <w:footnote w:type="continuationSeparator" w:id="0">
    <w:p w14:paraId="69A04918" w14:textId="77777777" w:rsidR="003B1B01" w:rsidRDefault="003B1B01" w:rsidP="003D131F">
      <w:pPr>
        <w:spacing w:after="0" w:line="240" w:lineRule="auto"/>
      </w:pPr>
      <w:r>
        <w:continuationSeparator/>
      </w:r>
    </w:p>
  </w:footnote>
  <w:footnote w:type="continuationNotice" w:id="1">
    <w:p w14:paraId="21F8DEBF" w14:textId="77777777" w:rsidR="003B1B01" w:rsidRDefault="003B1B01">
      <w:pPr>
        <w:spacing w:after="0" w:line="240" w:lineRule="auto"/>
      </w:pPr>
    </w:p>
  </w:footnote>
  <w:footnote w:id="2">
    <w:p w14:paraId="387003BF" w14:textId="77777777" w:rsidR="005F4BD2" w:rsidRDefault="005F4BD2" w:rsidP="005F4BD2">
      <w:pPr>
        <w:pStyle w:val="Textpoznpodarou"/>
        <w:jc w:val="both"/>
      </w:pPr>
      <w:r>
        <w:rPr>
          <w:rStyle w:val="Znakapoznpodarou"/>
        </w:rPr>
        <w:footnoteRef/>
      </w:r>
      <w:r>
        <w:t xml:space="preserve"> Schválen</w:t>
      </w:r>
      <w:r w:rsidRPr="001D6EFC">
        <w:t xml:space="preserve"> usnesení</w:t>
      </w:r>
      <w:r>
        <w:t>m</w:t>
      </w:r>
      <w:r w:rsidRPr="001D6EFC">
        <w:t xml:space="preserve"> vlády ČR č. 786 </w:t>
      </w:r>
      <w:r>
        <w:t>z 13. září 2021. S</w:t>
      </w:r>
      <w:r w:rsidRPr="003D6C76">
        <w:t xml:space="preserve">trategický rámec navazuje na </w:t>
      </w:r>
      <w:r w:rsidRPr="003D6C76">
        <w:rPr>
          <w:i/>
          <w:iCs/>
        </w:rPr>
        <w:t>Národní akční plán podporující pozitivní stárnutí na léta 2013 až 2017</w:t>
      </w:r>
      <w:r w:rsidRPr="003D6C76">
        <w:t xml:space="preserve">. </w:t>
      </w:r>
    </w:p>
  </w:footnote>
  <w:footnote w:id="3">
    <w:p w14:paraId="23B002CA" w14:textId="77777777" w:rsidR="00DB0C93" w:rsidRDefault="00DB0C93" w:rsidP="00DB0C93">
      <w:pPr>
        <w:pStyle w:val="Textpoznpodarou"/>
        <w:jc w:val="both"/>
      </w:pPr>
      <w:r>
        <w:rPr>
          <w:rStyle w:val="Znakapoznpodarou"/>
        </w:rPr>
        <w:footnoteRef/>
      </w:r>
      <w:r>
        <w:t xml:space="preserve"> </w:t>
      </w:r>
      <w:r w:rsidRPr="00C571B1">
        <w:t>Evropská komise v materiálu z ledna 2023 definuje 3 globální megatrendy, které jsou zdrojem rychle se měnícího prostředí ekonomiky a společnosti v posledních letech. Konkrétně se jedná o</w:t>
      </w:r>
      <w:r>
        <w:t>:</w:t>
      </w:r>
      <w:r w:rsidRPr="00C571B1">
        <w:t xml:space="preserve"> 1) demografické změny; 2) měnící se svět trhu práce, technologické změny a digitalizace; 3) změn</w:t>
      </w:r>
      <w:r>
        <w:t>u</w:t>
      </w:r>
      <w:r w:rsidRPr="00C571B1">
        <w:t xml:space="preserve"> klimatu a ekologický přechod.   </w:t>
      </w:r>
    </w:p>
  </w:footnote>
  <w:footnote w:id="4">
    <w:p w14:paraId="13FE54BF" w14:textId="77777777" w:rsidR="00EF6C20" w:rsidRDefault="00EF6C20" w:rsidP="00EF6C20">
      <w:pPr>
        <w:spacing w:line="240" w:lineRule="auto"/>
        <w:jc w:val="both"/>
        <w:rPr>
          <w:rFonts w:ascii="Arial" w:hAnsi="Arial" w:cs="Arial"/>
          <w:b/>
          <w:sz w:val="24"/>
        </w:rPr>
      </w:pPr>
      <w:r>
        <w:rPr>
          <w:rStyle w:val="Znakapoznpodarou"/>
        </w:rPr>
        <w:footnoteRef/>
      </w:r>
      <w:r>
        <w:t xml:space="preserve"> </w:t>
      </w:r>
      <w:r w:rsidRPr="00691223">
        <w:rPr>
          <w:rFonts w:ascii="Calibri" w:eastAsia="Calibri" w:hAnsi="Calibri" w:cs="Times New Roman"/>
          <w:sz w:val="20"/>
          <w:szCs w:val="20"/>
        </w:rPr>
        <w:t>V rámci Akčního plánu v návaznosti na Strategický rámec chápeme pod pojmem „senior“ různorodou skupinou lidí tvořenou různými generacemi, identitami, životními podmínkami, potřebami i zkušenostmi.</w:t>
      </w:r>
      <w:r w:rsidRPr="002473D1">
        <w:rPr>
          <w:rFonts w:ascii="Arial" w:hAnsi="Arial" w:cs="Arial"/>
          <w:b/>
          <w:sz w:val="24"/>
        </w:rPr>
        <w:t xml:space="preserve"> </w:t>
      </w:r>
    </w:p>
    <w:p w14:paraId="1F05E6AD" w14:textId="77777777" w:rsidR="00EF6C20" w:rsidRDefault="00EF6C20" w:rsidP="00EF6C20">
      <w:pPr>
        <w:pStyle w:val="Textpoznpodarou"/>
      </w:pPr>
    </w:p>
  </w:footnote>
  <w:footnote w:id="5">
    <w:p w14:paraId="4EC2D273" w14:textId="77777777" w:rsidR="008D6DD3" w:rsidRPr="00AA006D" w:rsidRDefault="008D6DD3" w:rsidP="008D6DD3">
      <w:pPr>
        <w:pStyle w:val="xmsonormal"/>
        <w:spacing w:after="200"/>
        <w:jc w:val="both"/>
        <w:rPr>
          <w:rFonts w:ascii="Arial" w:hAnsi="Arial" w:cs="Arial"/>
          <w:sz w:val="24"/>
          <w:szCs w:val="24"/>
        </w:rPr>
      </w:pPr>
      <w:r>
        <w:rPr>
          <w:rStyle w:val="Znakapoznpodarou"/>
        </w:rPr>
        <w:footnoteRef/>
      </w:r>
      <w:r>
        <w:t xml:space="preserve"> </w:t>
      </w:r>
      <w:r w:rsidRPr="009B2E93">
        <w:rPr>
          <w:rFonts w:ascii="Arial" w:hAnsi="Arial" w:cs="Arial"/>
          <w:sz w:val="20"/>
          <w:szCs w:val="20"/>
        </w:rPr>
        <w:t xml:space="preserve">Konkrétním příkladem naplnění osobní aktivity a zodpovědnosti seniorů </w:t>
      </w:r>
      <w:r w:rsidRPr="009B2E93">
        <w:rPr>
          <w:rFonts w:ascii="Arial" w:hAnsi="Arial" w:cs="Arial"/>
          <w:b/>
          <w:bCs/>
          <w:sz w:val="20"/>
          <w:szCs w:val="20"/>
        </w:rPr>
        <w:t>vůči společnosti</w:t>
      </w:r>
      <w:r w:rsidRPr="009B2E93">
        <w:rPr>
          <w:rFonts w:ascii="Arial" w:hAnsi="Arial" w:cs="Arial"/>
          <w:sz w:val="20"/>
          <w:szCs w:val="20"/>
        </w:rPr>
        <w:t xml:space="preserve"> je např. příležitost předávat osobní zkušenosti a dovednosti v rámci mezigeneračního dialogu (mentoring, koučing). V případě osobní zodpovědnosti </w:t>
      </w:r>
      <w:r w:rsidRPr="009B2E93">
        <w:rPr>
          <w:rFonts w:ascii="Arial" w:hAnsi="Arial" w:cs="Arial"/>
          <w:b/>
          <w:bCs/>
          <w:sz w:val="20"/>
          <w:szCs w:val="20"/>
        </w:rPr>
        <w:t>vůči komunitě</w:t>
      </w:r>
      <w:r w:rsidRPr="009B2E93">
        <w:rPr>
          <w:rFonts w:ascii="Arial" w:hAnsi="Arial" w:cs="Arial"/>
          <w:sz w:val="20"/>
          <w:szCs w:val="20"/>
        </w:rPr>
        <w:t xml:space="preserve"> se jedná např. o příležitosti podílet se na tvorbě místních politik, zapojit se do místní samosprávy a dobrovolnictví. Zodpovědnost seniorů </w:t>
      </w:r>
      <w:r w:rsidRPr="009B2E93">
        <w:rPr>
          <w:rFonts w:ascii="Arial" w:hAnsi="Arial" w:cs="Arial"/>
          <w:b/>
          <w:bCs/>
          <w:sz w:val="20"/>
          <w:szCs w:val="20"/>
        </w:rPr>
        <w:t>vůči sobě</w:t>
      </w:r>
      <w:r w:rsidRPr="009B2E93">
        <w:rPr>
          <w:rFonts w:ascii="Arial" w:hAnsi="Arial" w:cs="Arial"/>
          <w:sz w:val="20"/>
          <w:szCs w:val="20"/>
        </w:rPr>
        <w:t xml:space="preserve"> pak představuje možnost prodloužit aktivní život jak po stránce osobní, tak po stránce případného (znovu)zapojení do pracovního procesu (zdravý životní styl; zaměstnanec, zaměstnavatel, sebezaměstnání). </w:t>
      </w:r>
    </w:p>
    <w:p w14:paraId="2310586D" w14:textId="77777777" w:rsidR="008D6DD3" w:rsidRDefault="008D6DD3" w:rsidP="008D6DD3">
      <w:pPr>
        <w:pStyle w:val="Textpoznpodarou"/>
      </w:pPr>
    </w:p>
  </w:footnote>
  <w:footnote w:id="6">
    <w:p w14:paraId="340DD683" w14:textId="2D245E3F" w:rsidR="003E484B" w:rsidRDefault="003E484B">
      <w:pPr>
        <w:pStyle w:val="Textpoznpodarou"/>
      </w:pPr>
      <w:r>
        <w:rPr>
          <w:rStyle w:val="Znakapoznpodarou"/>
        </w:rPr>
        <w:footnoteRef/>
      </w:r>
      <w:r>
        <w:t xml:space="preserve"> </w:t>
      </w:r>
      <w:r w:rsidRPr="003E484B">
        <w:t>Nejvyšší nárůst byl zaznamenán u lůžkové léčebné péče (o 20,3 mld. Kč) a u ambulantní léčebné péče (o 13,3</w:t>
      </w:r>
      <w:r>
        <w:t> </w:t>
      </w:r>
      <w:r w:rsidRPr="003E484B">
        <w:t>mld. Kč).</w:t>
      </w:r>
      <w:r>
        <w:t xml:space="preserve"> </w:t>
      </w:r>
      <w:r w:rsidRPr="003E484B">
        <w:t>Dlouhodobě vydávají zdravotní pojišťovny nejvíce peněz za nemoci oběhové soustavy</w:t>
      </w:r>
      <w:r>
        <w:t xml:space="preserve"> (</w:t>
      </w:r>
      <w:r w:rsidRPr="003E484B">
        <w:t>např</w:t>
      </w:r>
      <w:r>
        <w:t>.</w:t>
      </w:r>
      <w:r w:rsidRPr="003E484B">
        <w:t xml:space="preserve"> ischemické choroby srdeční, hypertenzní nemoci, infarkt a mrtvice</w:t>
      </w:r>
      <w:r>
        <w:t>)</w:t>
      </w:r>
      <w:r w:rsidRPr="003E484B">
        <w:t>. V roce 2020 přesáhly výdaje na tuto diagnózu hranici 40 mld. Kč, nejvyšší částku z toho vydaly pojišťovny za pacienty ve věkové kategorii 70–74 let.</w:t>
      </w:r>
      <w:r>
        <w:t xml:space="preserve"> V</w:t>
      </w:r>
      <w:r w:rsidRPr="003E484B">
        <w:t xml:space="preserve">ýdaje na léčbu onkologických onemocnění se </w:t>
      </w:r>
      <w:r>
        <w:t xml:space="preserve">meziročně </w:t>
      </w:r>
      <w:r w:rsidRPr="003E484B">
        <w:t>zvýšily o 14 %.</w:t>
      </w:r>
      <w:r>
        <w:t xml:space="preserve"> Zdroj: </w:t>
      </w:r>
      <w:hyperlink r:id="rId1" w:history="1">
        <w:r w:rsidRPr="00C258D8">
          <w:rPr>
            <w:rStyle w:val="Hypertextovodkaz"/>
          </w:rPr>
          <w:t>https://www.statistikaamy.cz/2022/11/24/covid-urychlil-rust-nakladu-na-zdravi</w:t>
        </w:r>
      </w:hyperlink>
      <w:r>
        <w:t xml:space="preserve"> </w:t>
      </w:r>
    </w:p>
  </w:footnote>
  <w:footnote w:id="7">
    <w:p w14:paraId="4A1A9355" w14:textId="022ECAA9" w:rsidR="00FC6A3E" w:rsidRDefault="00FC6A3E">
      <w:pPr>
        <w:pStyle w:val="Textpoznpodarou"/>
      </w:pPr>
      <w:r>
        <w:rPr>
          <w:rStyle w:val="Znakapoznpodarou"/>
        </w:rPr>
        <w:footnoteRef/>
      </w:r>
      <w:r>
        <w:t xml:space="preserve"> Dle šetření FDV poskytuje k</w:t>
      </w:r>
      <w:r w:rsidRPr="00FC6A3E">
        <w:t>ompletní péči ve společné domácnosti 400 tisíc lidí</w:t>
      </w:r>
      <w:r>
        <w:t>.</w:t>
      </w:r>
      <w:r w:rsidRPr="00FC6A3E">
        <w:t xml:space="preserve"> 600 tisíc lidí </w:t>
      </w:r>
      <w:r>
        <w:t xml:space="preserve">neformálně pečuje </w:t>
      </w:r>
      <w:r w:rsidRPr="00FC6A3E">
        <w:t>průměrně 16 hodin týdně.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E49"/>
    <w:multiLevelType w:val="hybridMultilevel"/>
    <w:tmpl w:val="68EA4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EB0BB6"/>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C0DEC"/>
    <w:multiLevelType w:val="hybridMultilevel"/>
    <w:tmpl w:val="9B7C81D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D65F9D"/>
    <w:multiLevelType w:val="hybridMultilevel"/>
    <w:tmpl w:val="5EBE1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E458B"/>
    <w:multiLevelType w:val="hybridMultilevel"/>
    <w:tmpl w:val="F482CF5C"/>
    <w:lvl w:ilvl="0" w:tplc="834C908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025A44"/>
    <w:multiLevelType w:val="multilevel"/>
    <w:tmpl w:val="0405001F"/>
    <w:styleLink w:val="Styl4"/>
    <w:lvl w:ilvl="0">
      <w:start w:val="5"/>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C4413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64FBE"/>
    <w:multiLevelType w:val="hybridMultilevel"/>
    <w:tmpl w:val="01C8B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69257E"/>
    <w:multiLevelType w:val="hybridMultilevel"/>
    <w:tmpl w:val="15DE4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CC12A5"/>
    <w:multiLevelType w:val="hybridMultilevel"/>
    <w:tmpl w:val="67FE19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12EEE"/>
    <w:multiLevelType w:val="multilevel"/>
    <w:tmpl w:val="2D8A8A2C"/>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9E0EC5"/>
    <w:multiLevelType w:val="hybridMultilevel"/>
    <w:tmpl w:val="137A7F84"/>
    <w:lvl w:ilvl="0" w:tplc="064A99FC">
      <w:start w:val="1"/>
      <w:numFmt w:val="bullet"/>
      <w:lvlText w:val=""/>
      <w:lvlJc w:val="left"/>
      <w:pPr>
        <w:ind w:left="1494" w:hanging="360"/>
      </w:pPr>
      <w:rPr>
        <w:rFonts w:ascii="Symbol" w:hAnsi="Symbol" w:hint="default"/>
        <w:color w:val="auto"/>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41E51FE8"/>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1943C4"/>
    <w:multiLevelType w:val="multilevel"/>
    <w:tmpl w:val="DCD68DA2"/>
    <w:lvl w:ilvl="0">
      <w:start w:val="4"/>
      <w:numFmt w:val="decimal"/>
      <w:lvlText w:val="%1."/>
      <w:lvlJc w:val="left"/>
      <w:pPr>
        <w:ind w:left="360" w:hanging="36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4" w15:restartNumberingAfterBreak="0">
    <w:nsid w:val="4A29555B"/>
    <w:multiLevelType w:val="hybridMultilevel"/>
    <w:tmpl w:val="1834ED5E"/>
    <w:lvl w:ilvl="0" w:tplc="C172D8FE">
      <w:start w:val="1"/>
      <w:numFmt w:val="decimal"/>
      <w:lvlText w:val="%1."/>
      <w:lvlJc w:val="left"/>
      <w:pPr>
        <w:ind w:left="1140" w:hanging="360"/>
      </w:pPr>
      <w:rPr>
        <w:rFonts w:ascii="Arial" w:eastAsiaTheme="minorHAnsi" w:hAnsi="Arial" w:cs="Arial"/>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15:restartNumberingAfterBreak="0">
    <w:nsid w:val="50F2208F"/>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31646C"/>
    <w:multiLevelType w:val="hybridMultilevel"/>
    <w:tmpl w:val="AF26C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0C40B9"/>
    <w:multiLevelType w:val="hybridMultilevel"/>
    <w:tmpl w:val="E5EE596C"/>
    <w:lvl w:ilvl="0" w:tplc="F40E5B80">
      <w:start w:val="1"/>
      <w:numFmt w:val="bullet"/>
      <w:lvlText w:val=""/>
      <w:lvlJc w:val="left"/>
      <w:pPr>
        <w:ind w:left="163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1D6516"/>
    <w:multiLevelType w:val="multilevel"/>
    <w:tmpl w:val="0405001F"/>
    <w:numStyleLink w:val="Styl1"/>
  </w:abstractNum>
  <w:abstractNum w:abstractNumId="19" w15:restartNumberingAfterBreak="0">
    <w:nsid w:val="5BF164FC"/>
    <w:multiLevelType w:val="hybridMultilevel"/>
    <w:tmpl w:val="9C0870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AB5746"/>
    <w:multiLevelType w:val="hybridMultilevel"/>
    <w:tmpl w:val="AF666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0C4C26"/>
    <w:multiLevelType w:val="hybridMultilevel"/>
    <w:tmpl w:val="CE7877E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40151B"/>
    <w:multiLevelType w:val="hybridMultilevel"/>
    <w:tmpl w:val="67FE19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ED1C21"/>
    <w:multiLevelType w:val="multilevel"/>
    <w:tmpl w:val="2C0C1C06"/>
    <w:lvl w:ilvl="0">
      <w:start w:val="5"/>
      <w:numFmt w:val="decimal"/>
      <w:lvlText w:val="%1."/>
      <w:lvlJc w:val="left"/>
      <w:pPr>
        <w:ind w:left="495" w:hanging="495"/>
      </w:pPr>
      <w:rPr>
        <w:rFonts w:hint="default"/>
        <w:sz w:val="20"/>
      </w:rPr>
    </w:lvl>
    <w:lvl w:ilvl="1">
      <w:start w:val="2"/>
      <w:numFmt w:val="decimal"/>
      <w:lvlText w:val="%1.%2."/>
      <w:lvlJc w:val="left"/>
      <w:pPr>
        <w:ind w:left="1610" w:hanging="720"/>
      </w:pPr>
      <w:rPr>
        <w:rFonts w:hint="default"/>
        <w:sz w:val="20"/>
      </w:rPr>
    </w:lvl>
    <w:lvl w:ilvl="2">
      <w:start w:val="1"/>
      <w:numFmt w:val="decimal"/>
      <w:lvlText w:val="%1.%2.%3."/>
      <w:lvlJc w:val="left"/>
      <w:pPr>
        <w:ind w:left="2500" w:hanging="720"/>
      </w:pPr>
      <w:rPr>
        <w:rFonts w:hint="default"/>
        <w:strike w:val="0"/>
        <w:sz w:val="20"/>
      </w:rPr>
    </w:lvl>
    <w:lvl w:ilvl="3">
      <w:start w:val="1"/>
      <w:numFmt w:val="decimal"/>
      <w:lvlText w:val="%1.%2.%3.%4."/>
      <w:lvlJc w:val="left"/>
      <w:pPr>
        <w:ind w:left="3750" w:hanging="1080"/>
      </w:pPr>
      <w:rPr>
        <w:rFonts w:hint="default"/>
        <w:sz w:val="20"/>
      </w:rPr>
    </w:lvl>
    <w:lvl w:ilvl="4">
      <w:start w:val="1"/>
      <w:numFmt w:val="decimal"/>
      <w:lvlText w:val="%1.%2.%3.%4.%5."/>
      <w:lvlJc w:val="left"/>
      <w:pPr>
        <w:ind w:left="4640" w:hanging="1080"/>
      </w:pPr>
      <w:rPr>
        <w:rFonts w:hint="default"/>
        <w:sz w:val="20"/>
      </w:rPr>
    </w:lvl>
    <w:lvl w:ilvl="5">
      <w:start w:val="1"/>
      <w:numFmt w:val="decimal"/>
      <w:lvlText w:val="%1.%2.%3.%4.%5.%6."/>
      <w:lvlJc w:val="left"/>
      <w:pPr>
        <w:ind w:left="5890" w:hanging="1440"/>
      </w:pPr>
      <w:rPr>
        <w:rFonts w:hint="default"/>
        <w:sz w:val="20"/>
      </w:rPr>
    </w:lvl>
    <w:lvl w:ilvl="6">
      <w:start w:val="1"/>
      <w:numFmt w:val="decimal"/>
      <w:lvlText w:val="%1.%2.%3.%4.%5.%6.%7."/>
      <w:lvlJc w:val="left"/>
      <w:pPr>
        <w:ind w:left="6780" w:hanging="1440"/>
      </w:pPr>
      <w:rPr>
        <w:rFonts w:hint="default"/>
        <w:sz w:val="20"/>
      </w:rPr>
    </w:lvl>
    <w:lvl w:ilvl="7">
      <w:start w:val="1"/>
      <w:numFmt w:val="decimal"/>
      <w:lvlText w:val="%1.%2.%3.%4.%5.%6.%7.%8."/>
      <w:lvlJc w:val="left"/>
      <w:pPr>
        <w:ind w:left="8030" w:hanging="1800"/>
      </w:pPr>
      <w:rPr>
        <w:rFonts w:hint="default"/>
        <w:sz w:val="20"/>
      </w:rPr>
    </w:lvl>
    <w:lvl w:ilvl="8">
      <w:start w:val="1"/>
      <w:numFmt w:val="decimal"/>
      <w:lvlText w:val="%1.%2.%3.%4.%5.%6.%7.%8.%9."/>
      <w:lvlJc w:val="left"/>
      <w:pPr>
        <w:ind w:left="8920" w:hanging="1800"/>
      </w:pPr>
      <w:rPr>
        <w:rFonts w:hint="default"/>
        <w:sz w:val="20"/>
      </w:rPr>
    </w:lvl>
  </w:abstractNum>
  <w:abstractNum w:abstractNumId="24" w15:restartNumberingAfterBreak="0">
    <w:nsid w:val="69EE2B5B"/>
    <w:multiLevelType w:val="multilevel"/>
    <w:tmpl w:val="02025F0C"/>
    <w:numStyleLink w:val="Styl2"/>
  </w:abstractNum>
  <w:abstractNum w:abstractNumId="25" w15:restartNumberingAfterBreak="0">
    <w:nsid w:val="6CD461C0"/>
    <w:multiLevelType w:val="multilevel"/>
    <w:tmpl w:val="040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21"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6E9B7A96"/>
    <w:multiLevelType w:val="hybridMultilevel"/>
    <w:tmpl w:val="8DF8E8B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42F1A"/>
    <w:multiLevelType w:val="hybridMultilevel"/>
    <w:tmpl w:val="70E46F76"/>
    <w:lvl w:ilvl="0" w:tplc="A51CC1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4A5BE3"/>
    <w:multiLevelType w:val="hybridMultilevel"/>
    <w:tmpl w:val="DBC82B38"/>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290DA0"/>
    <w:multiLevelType w:val="multilevel"/>
    <w:tmpl w:val="02025F0C"/>
    <w:styleLink w:val="Styl2"/>
    <w:lvl w:ilvl="0">
      <w:start w:val="3"/>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1"/>
  </w:num>
  <w:num w:numId="2">
    <w:abstractNumId w:val="17"/>
  </w:num>
  <w:num w:numId="3">
    <w:abstractNumId w:val="8"/>
  </w:num>
  <w:num w:numId="4">
    <w:abstractNumId w:val="20"/>
  </w:num>
  <w:num w:numId="5">
    <w:abstractNumId w:val="4"/>
  </w:num>
  <w:num w:numId="6">
    <w:abstractNumId w:val="27"/>
  </w:num>
  <w:num w:numId="7">
    <w:abstractNumId w:val="14"/>
  </w:num>
  <w:num w:numId="8">
    <w:abstractNumId w:val="28"/>
  </w:num>
  <w:num w:numId="9">
    <w:abstractNumId w:val="16"/>
  </w:num>
  <w:num w:numId="10">
    <w:abstractNumId w:val="9"/>
  </w:num>
  <w:num w:numId="11">
    <w:abstractNumId w:val="1"/>
  </w:num>
  <w:num w:numId="12">
    <w:abstractNumId w:val="12"/>
  </w:num>
  <w:num w:numId="13">
    <w:abstractNumId w:val="15"/>
  </w:num>
  <w:num w:numId="14">
    <w:abstractNumId w:val="22"/>
  </w:num>
  <w:num w:numId="15">
    <w:abstractNumId w:val="0"/>
  </w:num>
  <w:num w:numId="16">
    <w:abstractNumId w:val="21"/>
  </w:num>
  <w:num w:numId="17">
    <w:abstractNumId w:val="26"/>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5"/>
  </w:num>
  <w:num w:numId="22">
    <w:abstractNumId w:val="29"/>
  </w:num>
  <w:num w:numId="23">
    <w:abstractNumId w:val="6"/>
  </w:num>
  <w:num w:numId="24">
    <w:abstractNumId w:val="18"/>
  </w:num>
  <w:num w:numId="25">
    <w:abstractNumId w:val="24"/>
  </w:num>
  <w:num w:numId="26">
    <w:abstractNumId w:val="13"/>
  </w:num>
  <w:num w:numId="27">
    <w:abstractNumId w:val="23"/>
  </w:num>
  <w:num w:numId="28">
    <w:abstractNumId w:val="10"/>
  </w:num>
  <w:num w:numId="29">
    <w:abstractNumId w:val="7"/>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M7EwtwAxzU1NlHSUglOLizPz80AKDGsB5QAS9CwAAAA="/>
  </w:docVars>
  <w:rsids>
    <w:rsidRoot w:val="006C3BA3"/>
    <w:rsid w:val="00000B42"/>
    <w:rsid w:val="00000EE0"/>
    <w:rsid w:val="00001DA4"/>
    <w:rsid w:val="00003622"/>
    <w:rsid w:val="000040E1"/>
    <w:rsid w:val="00004BB0"/>
    <w:rsid w:val="00005636"/>
    <w:rsid w:val="00006EFA"/>
    <w:rsid w:val="00007AE6"/>
    <w:rsid w:val="00007B54"/>
    <w:rsid w:val="00007D5B"/>
    <w:rsid w:val="00010501"/>
    <w:rsid w:val="000105BA"/>
    <w:rsid w:val="00010639"/>
    <w:rsid w:val="000117AC"/>
    <w:rsid w:val="00011A39"/>
    <w:rsid w:val="000142B3"/>
    <w:rsid w:val="00015330"/>
    <w:rsid w:val="00016329"/>
    <w:rsid w:val="0001657C"/>
    <w:rsid w:val="000165C2"/>
    <w:rsid w:val="00016844"/>
    <w:rsid w:val="00016FCE"/>
    <w:rsid w:val="00017E49"/>
    <w:rsid w:val="0002010C"/>
    <w:rsid w:val="0002038C"/>
    <w:rsid w:val="000218F8"/>
    <w:rsid w:val="00021DA9"/>
    <w:rsid w:val="000228A4"/>
    <w:rsid w:val="000229B1"/>
    <w:rsid w:val="00022AE9"/>
    <w:rsid w:val="000240E7"/>
    <w:rsid w:val="00024B26"/>
    <w:rsid w:val="0002509A"/>
    <w:rsid w:val="000251EA"/>
    <w:rsid w:val="00025F00"/>
    <w:rsid w:val="000261CB"/>
    <w:rsid w:val="0002650B"/>
    <w:rsid w:val="00026BA2"/>
    <w:rsid w:val="00026BFE"/>
    <w:rsid w:val="00027187"/>
    <w:rsid w:val="0002748C"/>
    <w:rsid w:val="000279C2"/>
    <w:rsid w:val="000304D6"/>
    <w:rsid w:val="00031AB5"/>
    <w:rsid w:val="00032283"/>
    <w:rsid w:val="0003250A"/>
    <w:rsid w:val="000341CB"/>
    <w:rsid w:val="00035CD9"/>
    <w:rsid w:val="00035E4F"/>
    <w:rsid w:val="0003693F"/>
    <w:rsid w:val="000410A3"/>
    <w:rsid w:val="0004235E"/>
    <w:rsid w:val="00042B71"/>
    <w:rsid w:val="000435BF"/>
    <w:rsid w:val="00044227"/>
    <w:rsid w:val="00044308"/>
    <w:rsid w:val="00045937"/>
    <w:rsid w:val="00045F56"/>
    <w:rsid w:val="000469B6"/>
    <w:rsid w:val="00046D39"/>
    <w:rsid w:val="000470DB"/>
    <w:rsid w:val="000471DD"/>
    <w:rsid w:val="00050337"/>
    <w:rsid w:val="00052815"/>
    <w:rsid w:val="000537F6"/>
    <w:rsid w:val="00053A0F"/>
    <w:rsid w:val="00053FCF"/>
    <w:rsid w:val="000544A0"/>
    <w:rsid w:val="00054CA8"/>
    <w:rsid w:val="000551D0"/>
    <w:rsid w:val="000553E8"/>
    <w:rsid w:val="00057DA9"/>
    <w:rsid w:val="0006031D"/>
    <w:rsid w:val="00061A30"/>
    <w:rsid w:val="00061C98"/>
    <w:rsid w:val="00063C4A"/>
    <w:rsid w:val="00064010"/>
    <w:rsid w:val="00064BBD"/>
    <w:rsid w:val="000669EE"/>
    <w:rsid w:val="00067373"/>
    <w:rsid w:val="00071159"/>
    <w:rsid w:val="0007129A"/>
    <w:rsid w:val="00072300"/>
    <w:rsid w:val="00073D28"/>
    <w:rsid w:val="00074B13"/>
    <w:rsid w:val="00074ED7"/>
    <w:rsid w:val="00074F5E"/>
    <w:rsid w:val="00076DE5"/>
    <w:rsid w:val="00076ED6"/>
    <w:rsid w:val="000770FB"/>
    <w:rsid w:val="00081729"/>
    <w:rsid w:val="0008228D"/>
    <w:rsid w:val="00083051"/>
    <w:rsid w:val="000832DF"/>
    <w:rsid w:val="000834FF"/>
    <w:rsid w:val="00083B35"/>
    <w:rsid w:val="000849FF"/>
    <w:rsid w:val="00084B3D"/>
    <w:rsid w:val="00085A33"/>
    <w:rsid w:val="00087B03"/>
    <w:rsid w:val="0009023D"/>
    <w:rsid w:val="00090464"/>
    <w:rsid w:val="00092921"/>
    <w:rsid w:val="000931AF"/>
    <w:rsid w:val="00093477"/>
    <w:rsid w:val="00093BB9"/>
    <w:rsid w:val="00093E2E"/>
    <w:rsid w:val="000946C2"/>
    <w:rsid w:val="00094D0C"/>
    <w:rsid w:val="00095EF4"/>
    <w:rsid w:val="000976AF"/>
    <w:rsid w:val="000A01C2"/>
    <w:rsid w:val="000A05B7"/>
    <w:rsid w:val="000A0E8D"/>
    <w:rsid w:val="000A227B"/>
    <w:rsid w:val="000A2668"/>
    <w:rsid w:val="000A2EEC"/>
    <w:rsid w:val="000A4593"/>
    <w:rsid w:val="000A5FE8"/>
    <w:rsid w:val="000A69FB"/>
    <w:rsid w:val="000A6C29"/>
    <w:rsid w:val="000A71CC"/>
    <w:rsid w:val="000B0D0E"/>
    <w:rsid w:val="000B0FED"/>
    <w:rsid w:val="000B1123"/>
    <w:rsid w:val="000B1CF1"/>
    <w:rsid w:val="000B2285"/>
    <w:rsid w:val="000B2D09"/>
    <w:rsid w:val="000B311D"/>
    <w:rsid w:val="000B33A3"/>
    <w:rsid w:val="000B43E8"/>
    <w:rsid w:val="000B4FD6"/>
    <w:rsid w:val="000B529F"/>
    <w:rsid w:val="000B58E8"/>
    <w:rsid w:val="000B58FE"/>
    <w:rsid w:val="000B5F9C"/>
    <w:rsid w:val="000B71B4"/>
    <w:rsid w:val="000B731D"/>
    <w:rsid w:val="000B7635"/>
    <w:rsid w:val="000C03DB"/>
    <w:rsid w:val="000C1404"/>
    <w:rsid w:val="000C37A4"/>
    <w:rsid w:val="000C3E4C"/>
    <w:rsid w:val="000C42F9"/>
    <w:rsid w:val="000C5DA5"/>
    <w:rsid w:val="000C680B"/>
    <w:rsid w:val="000C7445"/>
    <w:rsid w:val="000C79A4"/>
    <w:rsid w:val="000C7F66"/>
    <w:rsid w:val="000D1E9A"/>
    <w:rsid w:val="000D265F"/>
    <w:rsid w:val="000D3BFC"/>
    <w:rsid w:val="000D3ED9"/>
    <w:rsid w:val="000D4126"/>
    <w:rsid w:val="000D4520"/>
    <w:rsid w:val="000D484D"/>
    <w:rsid w:val="000D5632"/>
    <w:rsid w:val="000D5B63"/>
    <w:rsid w:val="000D5C13"/>
    <w:rsid w:val="000D6036"/>
    <w:rsid w:val="000D62C2"/>
    <w:rsid w:val="000D6560"/>
    <w:rsid w:val="000D6E87"/>
    <w:rsid w:val="000D70E9"/>
    <w:rsid w:val="000D73A1"/>
    <w:rsid w:val="000E018E"/>
    <w:rsid w:val="000E05F5"/>
    <w:rsid w:val="000E06A7"/>
    <w:rsid w:val="000E1894"/>
    <w:rsid w:val="000E1A93"/>
    <w:rsid w:val="000E2CB6"/>
    <w:rsid w:val="000E2D6A"/>
    <w:rsid w:val="000E2FFB"/>
    <w:rsid w:val="000E3031"/>
    <w:rsid w:val="000E34A7"/>
    <w:rsid w:val="000E3EC8"/>
    <w:rsid w:val="000E402A"/>
    <w:rsid w:val="000E65E7"/>
    <w:rsid w:val="000F1582"/>
    <w:rsid w:val="000F184D"/>
    <w:rsid w:val="000F1CDA"/>
    <w:rsid w:val="000F2014"/>
    <w:rsid w:val="000F2A58"/>
    <w:rsid w:val="000F3971"/>
    <w:rsid w:val="000F3B64"/>
    <w:rsid w:val="000F3BBB"/>
    <w:rsid w:val="000F5377"/>
    <w:rsid w:val="000F64AA"/>
    <w:rsid w:val="000F6B60"/>
    <w:rsid w:val="000F7991"/>
    <w:rsid w:val="00101D72"/>
    <w:rsid w:val="00101DC6"/>
    <w:rsid w:val="00102C3F"/>
    <w:rsid w:val="00103D68"/>
    <w:rsid w:val="00105548"/>
    <w:rsid w:val="00105E14"/>
    <w:rsid w:val="001066C7"/>
    <w:rsid w:val="00110FDE"/>
    <w:rsid w:val="001110CF"/>
    <w:rsid w:val="001115E9"/>
    <w:rsid w:val="001119A0"/>
    <w:rsid w:val="00111C68"/>
    <w:rsid w:val="00111E95"/>
    <w:rsid w:val="001122AA"/>
    <w:rsid w:val="00112886"/>
    <w:rsid w:val="0011376C"/>
    <w:rsid w:val="001139BC"/>
    <w:rsid w:val="00114496"/>
    <w:rsid w:val="001146C6"/>
    <w:rsid w:val="0011495F"/>
    <w:rsid w:val="00114A31"/>
    <w:rsid w:val="001154A6"/>
    <w:rsid w:val="001155D8"/>
    <w:rsid w:val="00115872"/>
    <w:rsid w:val="00115F49"/>
    <w:rsid w:val="001169B2"/>
    <w:rsid w:val="00117527"/>
    <w:rsid w:val="00120717"/>
    <w:rsid w:val="00120B7F"/>
    <w:rsid w:val="00120EB4"/>
    <w:rsid w:val="00121109"/>
    <w:rsid w:val="001214B0"/>
    <w:rsid w:val="00121C0B"/>
    <w:rsid w:val="00122B71"/>
    <w:rsid w:val="001238A6"/>
    <w:rsid w:val="00124431"/>
    <w:rsid w:val="0012480C"/>
    <w:rsid w:val="001256BA"/>
    <w:rsid w:val="00125CC8"/>
    <w:rsid w:val="00126544"/>
    <w:rsid w:val="00126A28"/>
    <w:rsid w:val="00127049"/>
    <w:rsid w:val="0012711F"/>
    <w:rsid w:val="0012729F"/>
    <w:rsid w:val="0012796E"/>
    <w:rsid w:val="00130468"/>
    <w:rsid w:val="001308D2"/>
    <w:rsid w:val="0013113B"/>
    <w:rsid w:val="00131E17"/>
    <w:rsid w:val="00131E6B"/>
    <w:rsid w:val="001320E2"/>
    <w:rsid w:val="00132AAB"/>
    <w:rsid w:val="00133091"/>
    <w:rsid w:val="0013381C"/>
    <w:rsid w:val="001346C2"/>
    <w:rsid w:val="00134A6A"/>
    <w:rsid w:val="001352FE"/>
    <w:rsid w:val="0013565B"/>
    <w:rsid w:val="0013738B"/>
    <w:rsid w:val="00137D26"/>
    <w:rsid w:val="001425B0"/>
    <w:rsid w:val="0014262A"/>
    <w:rsid w:val="00143180"/>
    <w:rsid w:val="00143960"/>
    <w:rsid w:val="00143A98"/>
    <w:rsid w:val="00144151"/>
    <w:rsid w:val="00145874"/>
    <w:rsid w:val="001461CC"/>
    <w:rsid w:val="0014681C"/>
    <w:rsid w:val="001469A1"/>
    <w:rsid w:val="00146A1C"/>
    <w:rsid w:val="00146FF7"/>
    <w:rsid w:val="001473B0"/>
    <w:rsid w:val="00150038"/>
    <w:rsid w:val="001501FF"/>
    <w:rsid w:val="00150D24"/>
    <w:rsid w:val="00152232"/>
    <w:rsid w:val="00152CF4"/>
    <w:rsid w:val="001545D8"/>
    <w:rsid w:val="001554B5"/>
    <w:rsid w:val="001557DE"/>
    <w:rsid w:val="00155AB3"/>
    <w:rsid w:val="00160446"/>
    <w:rsid w:val="00160672"/>
    <w:rsid w:val="00162ADE"/>
    <w:rsid w:val="00162FD2"/>
    <w:rsid w:val="001630FF"/>
    <w:rsid w:val="001631CE"/>
    <w:rsid w:val="00163F56"/>
    <w:rsid w:val="00164488"/>
    <w:rsid w:val="00164B02"/>
    <w:rsid w:val="00164CF3"/>
    <w:rsid w:val="00164F55"/>
    <w:rsid w:val="0016632A"/>
    <w:rsid w:val="00166373"/>
    <w:rsid w:val="00166E21"/>
    <w:rsid w:val="001671E5"/>
    <w:rsid w:val="001674B4"/>
    <w:rsid w:val="00170282"/>
    <w:rsid w:val="00170947"/>
    <w:rsid w:val="0017198B"/>
    <w:rsid w:val="00171FB4"/>
    <w:rsid w:val="00172F40"/>
    <w:rsid w:val="00173035"/>
    <w:rsid w:val="00174293"/>
    <w:rsid w:val="001754F2"/>
    <w:rsid w:val="00176200"/>
    <w:rsid w:val="00176E60"/>
    <w:rsid w:val="001800A3"/>
    <w:rsid w:val="00180DBA"/>
    <w:rsid w:val="001811B3"/>
    <w:rsid w:val="00181660"/>
    <w:rsid w:val="00181AF8"/>
    <w:rsid w:val="00181E5E"/>
    <w:rsid w:val="00182450"/>
    <w:rsid w:val="0018298D"/>
    <w:rsid w:val="00183BDF"/>
    <w:rsid w:val="0018479A"/>
    <w:rsid w:val="00184CC0"/>
    <w:rsid w:val="001851F7"/>
    <w:rsid w:val="0018563F"/>
    <w:rsid w:val="00185764"/>
    <w:rsid w:val="00185802"/>
    <w:rsid w:val="00185FE8"/>
    <w:rsid w:val="00186032"/>
    <w:rsid w:val="00186D43"/>
    <w:rsid w:val="0019140A"/>
    <w:rsid w:val="00191FFC"/>
    <w:rsid w:val="001928C0"/>
    <w:rsid w:val="00192A9D"/>
    <w:rsid w:val="00192D2F"/>
    <w:rsid w:val="00192D93"/>
    <w:rsid w:val="001937E3"/>
    <w:rsid w:val="00196AD5"/>
    <w:rsid w:val="00197215"/>
    <w:rsid w:val="00197A28"/>
    <w:rsid w:val="00197DC4"/>
    <w:rsid w:val="001A0F70"/>
    <w:rsid w:val="001A1CDD"/>
    <w:rsid w:val="001A227E"/>
    <w:rsid w:val="001A41CA"/>
    <w:rsid w:val="001A41F5"/>
    <w:rsid w:val="001A48DF"/>
    <w:rsid w:val="001A492F"/>
    <w:rsid w:val="001A6548"/>
    <w:rsid w:val="001A68F5"/>
    <w:rsid w:val="001B0B0A"/>
    <w:rsid w:val="001B183C"/>
    <w:rsid w:val="001B193C"/>
    <w:rsid w:val="001B1E23"/>
    <w:rsid w:val="001B29F3"/>
    <w:rsid w:val="001B38B7"/>
    <w:rsid w:val="001B3B38"/>
    <w:rsid w:val="001B3B44"/>
    <w:rsid w:val="001B5EA6"/>
    <w:rsid w:val="001B6B97"/>
    <w:rsid w:val="001B6D00"/>
    <w:rsid w:val="001B6F03"/>
    <w:rsid w:val="001B77C4"/>
    <w:rsid w:val="001B7AF3"/>
    <w:rsid w:val="001B7D21"/>
    <w:rsid w:val="001B7FC7"/>
    <w:rsid w:val="001C0B64"/>
    <w:rsid w:val="001C11C5"/>
    <w:rsid w:val="001C1F67"/>
    <w:rsid w:val="001C3408"/>
    <w:rsid w:val="001C37B2"/>
    <w:rsid w:val="001C5C3B"/>
    <w:rsid w:val="001C5DB2"/>
    <w:rsid w:val="001C69BD"/>
    <w:rsid w:val="001C739E"/>
    <w:rsid w:val="001C7A45"/>
    <w:rsid w:val="001D0A0F"/>
    <w:rsid w:val="001D1594"/>
    <w:rsid w:val="001D24F3"/>
    <w:rsid w:val="001D2843"/>
    <w:rsid w:val="001D63DB"/>
    <w:rsid w:val="001D658C"/>
    <w:rsid w:val="001D6ADF"/>
    <w:rsid w:val="001D6C36"/>
    <w:rsid w:val="001D6EFC"/>
    <w:rsid w:val="001D7E7E"/>
    <w:rsid w:val="001E0755"/>
    <w:rsid w:val="001E0876"/>
    <w:rsid w:val="001E0ECB"/>
    <w:rsid w:val="001E1531"/>
    <w:rsid w:val="001E1CFE"/>
    <w:rsid w:val="001E2CC2"/>
    <w:rsid w:val="001E3AAD"/>
    <w:rsid w:val="001E540F"/>
    <w:rsid w:val="001E66E4"/>
    <w:rsid w:val="001E6F84"/>
    <w:rsid w:val="001E732D"/>
    <w:rsid w:val="001E738A"/>
    <w:rsid w:val="001E7C34"/>
    <w:rsid w:val="001E7D0E"/>
    <w:rsid w:val="001F160C"/>
    <w:rsid w:val="001F2A6D"/>
    <w:rsid w:val="001F2EDC"/>
    <w:rsid w:val="001F3606"/>
    <w:rsid w:val="001F36F4"/>
    <w:rsid w:val="001F3A73"/>
    <w:rsid w:val="001F6490"/>
    <w:rsid w:val="001F6ADB"/>
    <w:rsid w:val="001F74D1"/>
    <w:rsid w:val="00200006"/>
    <w:rsid w:val="002003F3"/>
    <w:rsid w:val="0020075E"/>
    <w:rsid w:val="00200945"/>
    <w:rsid w:val="00200B0B"/>
    <w:rsid w:val="00200D73"/>
    <w:rsid w:val="002016CD"/>
    <w:rsid w:val="00201896"/>
    <w:rsid w:val="0020299E"/>
    <w:rsid w:val="00202DCF"/>
    <w:rsid w:val="00203B8C"/>
    <w:rsid w:val="00203FD7"/>
    <w:rsid w:val="0020499B"/>
    <w:rsid w:val="00205281"/>
    <w:rsid w:val="00205427"/>
    <w:rsid w:val="00205F5E"/>
    <w:rsid w:val="00206EC7"/>
    <w:rsid w:val="00210299"/>
    <w:rsid w:val="00210F87"/>
    <w:rsid w:val="00211549"/>
    <w:rsid w:val="0021386E"/>
    <w:rsid w:val="002141B1"/>
    <w:rsid w:val="0021427C"/>
    <w:rsid w:val="00215199"/>
    <w:rsid w:val="00215711"/>
    <w:rsid w:val="00215BBE"/>
    <w:rsid w:val="00215F1F"/>
    <w:rsid w:val="00215F7A"/>
    <w:rsid w:val="00215FCB"/>
    <w:rsid w:val="002179A7"/>
    <w:rsid w:val="00222BBA"/>
    <w:rsid w:val="00222EBD"/>
    <w:rsid w:val="0022487A"/>
    <w:rsid w:val="0022491D"/>
    <w:rsid w:val="00225590"/>
    <w:rsid w:val="0022581D"/>
    <w:rsid w:val="00225F43"/>
    <w:rsid w:val="002262DF"/>
    <w:rsid w:val="00226884"/>
    <w:rsid w:val="00226D46"/>
    <w:rsid w:val="00226EA6"/>
    <w:rsid w:val="00230658"/>
    <w:rsid w:val="002320F1"/>
    <w:rsid w:val="00232280"/>
    <w:rsid w:val="00232DFB"/>
    <w:rsid w:val="00234C81"/>
    <w:rsid w:val="002350FB"/>
    <w:rsid w:val="00235E34"/>
    <w:rsid w:val="00236D4C"/>
    <w:rsid w:val="00236D97"/>
    <w:rsid w:val="002375B5"/>
    <w:rsid w:val="00237C74"/>
    <w:rsid w:val="002417EC"/>
    <w:rsid w:val="00242B49"/>
    <w:rsid w:val="00242C83"/>
    <w:rsid w:val="00242F43"/>
    <w:rsid w:val="002434C4"/>
    <w:rsid w:val="00243504"/>
    <w:rsid w:val="00243547"/>
    <w:rsid w:val="00243EAD"/>
    <w:rsid w:val="002440A7"/>
    <w:rsid w:val="00244389"/>
    <w:rsid w:val="00244737"/>
    <w:rsid w:val="0024548D"/>
    <w:rsid w:val="002454F4"/>
    <w:rsid w:val="00246B97"/>
    <w:rsid w:val="0024709D"/>
    <w:rsid w:val="002473D1"/>
    <w:rsid w:val="00247BA9"/>
    <w:rsid w:val="00247D9F"/>
    <w:rsid w:val="0025049B"/>
    <w:rsid w:val="00250542"/>
    <w:rsid w:val="002505D9"/>
    <w:rsid w:val="00251943"/>
    <w:rsid w:val="00251E28"/>
    <w:rsid w:val="00254A49"/>
    <w:rsid w:val="00255B26"/>
    <w:rsid w:val="002606B1"/>
    <w:rsid w:val="00260FB1"/>
    <w:rsid w:val="00261A2D"/>
    <w:rsid w:val="00261F2A"/>
    <w:rsid w:val="0026248F"/>
    <w:rsid w:val="00263F65"/>
    <w:rsid w:val="00264200"/>
    <w:rsid w:val="00264957"/>
    <w:rsid w:val="00264FA3"/>
    <w:rsid w:val="00265549"/>
    <w:rsid w:val="00265DF0"/>
    <w:rsid w:val="002671A7"/>
    <w:rsid w:val="0026753A"/>
    <w:rsid w:val="002679E4"/>
    <w:rsid w:val="00267A01"/>
    <w:rsid w:val="00267DB8"/>
    <w:rsid w:val="0027075E"/>
    <w:rsid w:val="00271BE0"/>
    <w:rsid w:val="00271C9F"/>
    <w:rsid w:val="00273665"/>
    <w:rsid w:val="00273670"/>
    <w:rsid w:val="0027427A"/>
    <w:rsid w:val="002746D7"/>
    <w:rsid w:val="00274A5A"/>
    <w:rsid w:val="00276813"/>
    <w:rsid w:val="00277D77"/>
    <w:rsid w:val="002805C7"/>
    <w:rsid w:val="00280C82"/>
    <w:rsid w:val="00281ECA"/>
    <w:rsid w:val="00281FE7"/>
    <w:rsid w:val="00282608"/>
    <w:rsid w:val="00283153"/>
    <w:rsid w:val="0028348B"/>
    <w:rsid w:val="00283604"/>
    <w:rsid w:val="002838AA"/>
    <w:rsid w:val="002838C1"/>
    <w:rsid w:val="00283C82"/>
    <w:rsid w:val="002842DB"/>
    <w:rsid w:val="002844CC"/>
    <w:rsid w:val="00284507"/>
    <w:rsid w:val="00285684"/>
    <w:rsid w:val="0028598F"/>
    <w:rsid w:val="00286709"/>
    <w:rsid w:val="00286A41"/>
    <w:rsid w:val="002876F9"/>
    <w:rsid w:val="00287D3B"/>
    <w:rsid w:val="002901FE"/>
    <w:rsid w:val="00290DE7"/>
    <w:rsid w:val="0029102A"/>
    <w:rsid w:val="00291EF1"/>
    <w:rsid w:val="0029359C"/>
    <w:rsid w:val="002949BA"/>
    <w:rsid w:val="00294E6A"/>
    <w:rsid w:val="0029659C"/>
    <w:rsid w:val="00296C19"/>
    <w:rsid w:val="0029752C"/>
    <w:rsid w:val="00297C92"/>
    <w:rsid w:val="002A0281"/>
    <w:rsid w:val="002A095F"/>
    <w:rsid w:val="002A21F4"/>
    <w:rsid w:val="002A3A73"/>
    <w:rsid w:val="002A424D"/>
    <w:rsid w:val="002A527E"/>
    <w:rsid w:val="002A5725"/>
    <w:rsid w:val="002A6507"/>
    <w:rsid w:val="002A6BF4"/>
    <w:rsid w:val="002A6C13"/>
    <w:rsid w:val="002A6EC7"/>
    <w:rsid w:val="002A730F"/>
    <w:rsid w:val="002A7F1E"/>
    <w:rsid w:val="002B15CF"/>
    <w:rsid w:val="002B1CBF"/>
    <w:rsid w:val="002B1D7A"/>
    <w:rsid w:val="002B1DDC"/>
    <w:rsid w:val="002B2C2B"/>
    <w:rsid w:val="002B359A"/>
    <w:rsid w:val="002B4571"/>
    <w:rsid w:val="002B4DD2"/>
    <w:rsid w:val="002B6284"/>
    <w:rsid w:val="002B73A0"/>
    <w:rsid w:val="002B7C0C"/>
    <w:rsid w:val="002B7DA0"/>
    <w:rsid w:val="002C033D"/>
    <w:rsid w:val="002C04CF"/>
    <w:rsid w:val="002C0D36"/>
    <w:rsid w:val="002C1D8F"/>
    <w:rsid w:val="002C3010"/>
    <w:rsid w:val="002C32BD"/>
    <w:rsid w:val="002C38E1"/>
    <w:rsid w:val="002C3980"/>
    <w:rsid w:val="002C3A58"/>
    <w:rsid w:val="002C3F8C"/>
    <w:rsid w:val="002C4031"/>
    <w:rsid w:val="002C418F"/>
    <w:rsid w:val="002C585D"/>
    <w:rsid w:val="002C5E60"/>
    <w:rsid w:val="002C66D3"/>
    <w:rsid w:val="002C6C28"/>
    <w:rsid w:val="002C73A1"/>
    <w:rsid w:val="002C786C"/>
    <w:rsid w:val="002D09F7"/>
    <w:rsid w:val="002D280D"/>
    <w:rsid w:val="002D2E44"/>
    <w:rsid w:val="002D3954"/>
    <w:rsid w:val="002D3BCE"/>
    <w:rsid w:val="002D3D09"/>
    <w:rsid w:val="002D3FEB"/>
    <w:rsid w:val="002D4195"/>
    <w:rsid w:val="002D489D"/>
    <w:rsid w:val="002D4976"/>
    <w:rsid w:val="002D7042"/>
    <w:rsid w:val="002E02ED"/>
    <w:rsid w:val="002E1C6F"/>
    <w:rsid w:val="002E29C5"/>
    <w:rsid w:val="002E358E"/>
    <w:rsid w:val="002E39C9"/>
    <w:rsid w:val="002E3DC0"/>
    <w:rsid w:val="002E41BB"/>
    <w:rsid w:val="002E5B50"/>
    <w:rsid w:val="002E5ECD"/>
    <w:rsid w:val="002E6006"/>
    <w:rsid w:val="002E6085"/>
    <w:rsid w:val="002E6DB9"/>
    <w:rsid w:val="002E6ED8"/>
    <w:rsid w:val="002E722B"/>
    <w:rsid w:val="002E72B7"/>
    <w:rsid w:val="002E7BBB"/>
    <w:rsid w:val="002F0ED7"/>
    <w:rsid w:val="002F1F29"/>
    <w:rsid w:val="002F210F"/>
    <w:rsid w:val="002F2248"/>
    <w:rsid w:val="002F2716"/>
    <w:rsid w:val="002F32DE"/>
    <w:rsid w:val="002F35B6"/>
    <w:rsid w:val="002F3821"/>
    <w:rsid w:val="002F5CF8"/>
    <w:rsid w:val="002F5D7F"/>
    <w:rsid w:val="002F74B5"/>
    <w:rsid w:val="002F7510"/>
    <w:rsid w:val="002F7AD8"/>
    <w:rsid w:val="003005D4"/>
    <w:rsid w:val="00300D18"/>
    <w:rsid w:val="00300D9D"/>
    <w:rsid w:val="00300DCA"/>
    <w:rsid w:val="0030171C"/>
    <w:rsid w:val="00301E24"/>
    <w:rsid w:val="00302068"/>
    <w:rsid w:val="0030256C"/>
    <w:rsid w:val="00303299"/>
    <w:rsid w:val="003036DC"/>
    <w:rsid w:val="003039AF"/>
    <w:rsid w:val="00303AD0"/>
    <w:rsid w:val="00304441"/>
    <w:rsid w:val="003051FA"/>
    <w:rsid w:val="00305839"/>
    <w:rsid w:val="00305F3F"/>
    <w:rsid w:val="003076D6"/>
    <w:rsid w:val="00307E80"/>
    <w:rsid w:val="00310320"/>
    <w:rsid w:val="00310ADE"/>
    <w:rsid w:val="00312D17"/>
    <w:rsid w:val="00313196"/>
    <w:rsid w:val="00313EA5"/>
    <w:rsid w:val="00314484"/>
    <w:rsid w:val="003147F7"/>
    <w:rsid w:val="003149C8"/>
    <w:rsid w:val="00314AC8"/>
    <w:rsid w:val="00314B69"/>
    <w:rsid w:val="003151FB"/>
    <w:rsid w:val="0032042F"/>
    <w:rsid w:val="00320616"/>
    <w:rsid w:val="003206BE"/>
    <w:rsid w:val="003220D2"/>
    <w:rsid w:val="003224BF"/>
    <w:rsid w:val="0032296C"/>
    <w:rsid w:val="00323702"/>
    <w:rsid w:val="003260C5"/>
    <w:rsid w:val="003261F6"/>
    <w:rsid w:val="00327B7B"/>
    <w:rsid w:val="00330C89"/>
    <w:rsid w:val="00330D29"/>
    <w:rsid w:val="00331886"/>
    <w:rsid w:val="0033244F"/>
    <w:rsid w:val="00332A01"/>
    <w:rsid w:val="00332D6D"/>
    <w:rsid w:val="00333446"/>
    <w:rsid w:val="0033406B"/>
    <w:rsid w:val="0033421A"/>
    <w:rsid w:val="00335276"/>
    <w:rsid w:val="00335E0B"/>
    <w:rsid w:val="00336C78"/>
    <w:rsid w:val="00336CEB"/>
    <w:rsid w:val="00340628"/>
    <w:rsid w:val="0034069C"/>
    <w:rsid w:val="00341382"/>
    <w:rsid w:val="00341AD3"/>
    <w:rsid w:val="00342417"/>
    <w:rsid w:val="00342830"/>
    <w:rsid w:val="00344A9B"/>
    <w:rsid w:val="00344D7B"/>
    <w:rsid w:val="00345724"/>
    <w:rsid w:val="00345A5C"/>
    <w:rsid w:val="00345AD3"/>
    <w:rsid w:val="00346B58"/>
    <w:rsid w:val="00347505"/>
    <w:rsid w:val="003502CA"/>
    <w:rsid w:val="00350991"/>
    <w:rsid w:val="003509CA"/>
    <w:rsid w:val="00350D12"/>
    <w:rsid w:val="00351211"/>
    <w:rsid w:val="003515BD"/>
    <w:rsid w:val="00351E28"/>
    <w:rsid w:val="0035230C"/>
    <w:rsid w:val="0035584F"/>
    <w:rsid w:val="00355C9F"/>
    <w:rsid w:val="00356029"/>
    <w:rsid w:val="0035606C"/>
    <w:rsid w:val="00357A1F"/>
    <w:rsid w:val="0036028F"/>
    <w:rsid w:val="003603FE"/>
    <w:rsid w:val="00361DDA"/>
    <w:rsid w:val="00361F78"/>
    <w:rsid w:val="0036262F"/>
    <w:rsid w:val="00362F8E"/>
    <w:rsid w:val="00363152"/>
    <w:rsid w:val="00364DEE"/>
    <w:rsid w:val="00365071"/>
    <w:rsid w:val="00366499"/>
    <w:rsid w:val="00367987"/>
    <w:rsid w:val="00370A14"/>
    <w:rsid w:val="00370CFB"/>
    <w:rsid w:val="00371324"/>
    <w:rsid w:val="0037212C"/>
    <w:rsid w:val="00374ABF"/>
    <w:rsid w:val="00375368"/>
    <w:rsid w:val="0037581D"/>
    <w:rsid w:val="003758FA"/>
    <w:rsid w:val="00376752"/>
    <w:rsid w:val="003769C0"/>
    <w:rsid w:val="0037717D"/>
    <w:rsid w:val="0037749E"/>
    <w:rsid w:val="00377554"/>
    <w:rsid w:val="00377D92"/>
    <w:rsid w:val="00380084"/>
    <w:rsid w:val="00380123"/>
    <w:rsid w:val="003834B3"/>
    <w:rsid w:val="00383BCB"/>
    <w:rsid w:val="003850DD"/>
    <w:rsid w:val="00385F04"/>
    <w:rsid w:val="00386CB6"/>
    <w:rsid w:val="00386EFC"/>
    <w:rsid w:val="003879CE"/>
    <w:rsid w:val="00387B12"/>
    <w:rsid w:val="00390E25"/>
    <w:rsid w:val="00391B3D"/>
    <w:rsid w:val="00393086"/>
    <w:rsid w:val="00393311"/>
    <w:rsid w:val="0039385A"/>
    <w:rsid w:val="00395940"/>
    <w:rsid w:val="00395F22"/>
    <w:rsid w:val="003979A3"/>
    <w:rsid w:val="003A022A"/>
    <w:rsid w:val="003A03D7"/>
    <w:rsid w:val="003A0859"/>
    <w:rsid w:val="003A09E9"/>
    <w:rsid w:val="003A1941"/>
    <w:rsid w:val="003A1A22"/>
    <w:rsid w:val="003A2729"/>
    <w:rsid w:val="003A284B"/>
    <w:rsid w:val="003A31DB"/>
    <w:rsid w:val="003A31EB"/>
    <w:rsid w:val="003A329E"/>
    <w:rsid w:val="003A44A3"/>
    <w:rsid w:val="003A46A6"/>
    <w:rsid w:val="003A4A81"/>
    <w:rsid w:val="003A5A26"/>
    <w:rsid w:val="003A5ABA"/>
    <w:rsid w:val="003A6316"/>
    <w:rsid w:val="003A6458"/>
    <w:rsid w:val="003A65F5"/>
    <w:rsid w:val="003A672C"/>
    <w:rsid w:val="003A6A4A"/>
    <w:rsid w:val="003A6A5F"/>
    <w:rsid w:val="003B1B01"/>
    <w:rsid w:val="003B3004"/>
    <w:rsid w:val="003B43C5"/>
    <w:rsid w:val="003B5387"/>
    <w:rsid w:val="003B55E3"/>
    <w:rsid w:val="003B5C5B"/>
    <w:rsid w:val="003B6230"/>
    <w:rsid w:val="003B6767"/>
    <w:rsid w:val="003B6929"/>
    <w:rsid w:val="003B7806"/>
    <w:rsid w:val="003C032F"/>
    <w:rsid w:val="003C0D6A"/>
    <w:rsid w:val="003C0EEC"/>
    <w:rsid w:val="003C1BE5"/>
    <w:rsid w:val="003C2408"/>
    <w:rsid w:val="003C2B62"/>
    <w:rsid w:val="003C3DA5"/>
    <w:rsid w:val="003C45EB"/>
    <w:rsid w:val="003C58D8"/>
    <w:rsid w:val="003C5E90"/>
    <w:rsid w:val="003C61F6"/>
    <w:rsid w:val="003C64DD"/>
    <w:rsid w:val="003C6D50"/>
    <w:rsid w:val="003C727E"/>
    <w:rsid w:val="003C76F9"/>
    <w:rsid w:val="003D0D96"/>
    <w:rsid w:val="003D0F47"/>
    <w:rsid w:val="003D131F"/>
    <w:rsid w:val="003D1B65"/>
    <w:rsid w:val="003D30D8"/>
    <w:rsid w:val="003D34B5"/>
    <w:rsid w:val="003D387C"/>
    <w:rsid w:val="003D3C34"/>
    <w:rsid w:val="003D510F"/>
    <w:rsid w:val="003D5BD0"/>
    <w:rsid w:val="003D6142"/>
    <w:rsid w:val="003D6C76"/>
    <w:rsid w:val="003D76C5"/>
    <w:rsid w:val="003D7D2D"/>
    <w:rsid w:val="003E02BD"/>
    <w:rsid w:val="003E0904"/>
    <w:rsid w:val="003E10B7"/>
    <w:rsid w:val="003E18EA"/>
    <w:rsid w:val="003E2C65"/>
    <w:rsid w:val="003E300B"/>
    <w:rsid w:val="003E3027"/>
    <w:rsid w:val="003E3258"/>
    <w:rsid w:val="003E3802"/>
    <w:rsid w:val="003E3B1E"/>
    <w:rsid w:val="003E3EDB"/>
    <w:rsid w:val="003E484B"/>
    <w:rsid w:val="003E4A25"/>
    <w:rsid w:val="003E4EDE"/>
    <w:rsid w:val="003E53F3"/>
    <w:rsid w:val="003E5D48"/>
    <w:rsid w:val="003E685D"/>
    <w:rsid w:val="003E6CAD"/>
    <w:rsid w:val="003E7516"/>
    <w:rsid w:val="003F07DF"/>
    <w:rsid w:val="003F12D5"/>
    <w:rsid w:val="003F1917"/>
    <w:rsid w:val="003F1FC2"/>
    <w:rsid w:val="003F2935"/>
    <w:rsid w:val="003F2EFC"/>
    <w:rsid w:val="003F31F7"/>
    <w:rsid w:val="003F3ECA"/>
    <w:rsid w:val="003F42CB"/>
    <w:rsid w:val="003F46BF"/>
    <w:rsid w:val="003F491E"/>
    <w:rsid w:val="003F5217"/>
    <w:rsid w:val="003F5D19"/>
    <w:rsid w:val="003F646F"/>
    <w:rsid w:val="003F7002"/>
    <w:rsid w:val="003F770B"/>
    <w:rsid w:val="003F7E8F"/>
    <w:rsid w:val="003F7F02"/>
    <w:rsid w:val="00400D27"/>
    <w:rsid w:val="004014FE"/>
    <w:rsid w:val="00402F31"/>
    <w:rsid w:val="004041D8"/>
    <w:rsid w:val="00404489"/>
    <w:rsid w:val="00405DEA"/>
    <w:rsid w:val="00405F8A"/>
    <w:rsid w:val="004069A3"/>
    <w:rsid w:val="00407800"/>
    <w:rsid w:val="0040785B"/>
    <w:rsid w:val="0041025B"/>
    <w:rsid w:val="0041131E"/>
    <w:rsid w:val="00411963"/>
    <w:rsid w:val="00413F4F"/>
    <w:rsid w:val="00414422"/>
    <w:rsid w:val="004146A9"/>
    <w:rsid w:val="00415B6F"/>
    <w:rsid w:val="004174D7"/>
    <w:rsid w:val="004210B6"/>
    <w:rsid w:val="00421F8C"/>
    <w:rsid w:val="004232A1"/>
    <w:rsid w:val="004233A5"/>
    <w:rsid w:val="00424402"/>
    <w:rsid w:val="00424D00"/>
    <w:rsid w:val="0042510C"/>
    <w:rsid w:val="0042638A"/>
    <w:rsid w:val="00426474"/>
    <w:rsid w:val="00426726"/>
    <w:rsid w:val="0042695B"/>
    <w:rsid w:val="00426A7F"/>
    <w:rsid w:val="00426F41"/>
    <w:rsid w:val="004276A3"/>
    <w:rsid w:val="004312FD"/>
    <w:rsid w:val="0043146A"/>
    <w:rsid w:val="00432218"/>
    <w:rsid w:val="00433137"/>
    <w:rsid w:val="0043350E"/>
    <w:rsid w:val="00434400"/>
    <w:rsid w:val="00436D24"/>
    <w:rsid w:val="004370CA"/>
    <w:rsid w:val="00437ABA"/>
    <w:rsid w:val="00440DF4"/>
    <w:rsid w:val="004415B2"/>
    <w:rsid w:val="00441D52"/>
    <w:rsid w:val="004423B7"/>
    <w:rsid w:val="00442991"/>
    <w:rsid w:val="004429E1"/>
    <w:rsid w:val="004434A9"/>
    <w:rsid w:val="00446917"/>
    <w:rsid w:val="00446E36"/>
    <w:rsid w:val="00447074"/>
    <w:rsid w:val="004472CF"/>
    <w:rsid w:val="00447A3E"/>
    <w:rsid w:val="00447B6A"/>
    <w:rsid w:val="00450522"/>
    <w:rsid w:val="004507E4"/>
    <w:rsid w:val="00451069"/>
    <w:rsid w:val="00451DB4"/>
    <w:rsid w:val="004521E9"/>
    <w:rsid w:val="0045275C"/>
    <w:rsid w:val="004534B8"/>
    <w:rsid w:val="00453B7C"/>
    <w:rsid w:val="00453C08"/>
    <w:rsid w:val="00454D96"/>
    <w:rsid w:val="00455761"/>
    <w:rsid w:val="00455FA1"/>
    <w:rsid w:val="00456A15"/>
    <w:rsid w:val="00456B82"/>
    <w:rsid w:val="00456E0E"/>
    <w:rsid w:val="004576D9"/>
    <w:rsid w:val="00457A9C"/>
    <w:rsid w:val="00457CE9"/>
    <w:rsid w:val="00460576"/>
    <w:rsid w:val="00460A7E"/>
    <w:rsid w:val="00462348"/>
    <w:rsid w:val="0046254A"/>
    <w:rsid w:val="00462815"/>
    <w:rsid w:val="00463903"/>
    <w:rsid w:val="0046497D"/>
    <w:rsid w:val="004657D5"/>
    <w:rsid w:val="00465FD2"/>
    <w:rsid w:val="00466DE6"/>
    <w:rsid w:val="00466ECC"/>
    <w:rsid w:val="004674D2"/>
    <w:rsid w:val="00467652"/>
    <w:rsid w:val="00467AB7"/>
    <w:rsid w:val="00467C1F"/>
    <w:rsid w:val="00467CAE"/>
    <w:rsid w:val="00470F9B"/>
    <w:rsid w:val="00472BE0"/>
    <w:rsid w:val="0047300A"/>
    <w:rsid w:val="004736B1"/>
    <w:rsid w:val="00473EFF"/>
    <w:rsid w:val="00474273"/>
    <w:rsid w:val="00475192"/>
    <w:rsid w:val="00475F52"/>
    <w:rsid w:val="00476B0C"/>
    <w:rsid w:val="00476F0D"/>
    <w:rsid w:val="0047755D"/>
    <w:rsid w:val="00477DA0"/>
    <w:rsid w:val="00480D0F"/>
    <w:rsid w:val="004811F5"/>
    <w:rsid w:val="00481327"/>
    <w:rsid w:val="0048154D"/>
    <w:rsid w:val="00481556"/>
    <w:rsid w:val="00482042"/>
    <w:rsid w:val="0048232D"/>
    <w:rsid w:val="004828DB"/>
    <w:rsid w:val="00484182"/>
    <w:rsid w:val="00484874"/>
    <w:rsid w:val="00484D5E"/>
    <w:rsid w:val="0048518A"/>
    <w:rsid w:val="00485A18"/>
    <w:rsid w:val="00486368"/>
    <w:rsid w:val="004863D2"/>
    <w:rsid w:val="00491E76"/>
    <w:rsid w:val="0049230B"/>
    <w:rsid w:val="0049395E"/>
    <w:rsid w:val="00493971"/>
    <w:rsid w:val="00494527"/>
    <w:rsid w:val="0049465C"/>
    <w:rsid w:val="0049513D"/>
    <w:rsid w:val="00495601"/>
    <w:rsid w:val="0049613A"/>
    <w:rsid w:val="00497CAE"/>
    <w:rsid w:val="004A0648"/>
    <w:rsid w:val="004A0840"/>
    <w:rsid w:val="004A0E49"/>
    <w:rsid w:val="004A316C"/>
    <w:rsid w:val="004A37EC"/>
    <w:rsid w:val="004A4D9F"/>
    <w:rsid w:val="004A5E33"/>
    <w:rsid w:val="004A5F90"/>
    <w:rsid w:val="004A61DD"/>
    <w:rsid w:val="004A6440"/>
    <w:rsid w:val="004A6A53"/>
    <w:rsid w:val="004A6EC3"/>
    <w:rsid w:val="004A719F"/>
    <w:rsid w:val="004A7C6E"/>
    <w:rsid w:val="004B02B3"/>
    <w:rsid w:val="004B1214"/>
    <w:rsid w:val="004B209C"/>
    <w:rsid w:val="004B2520"/>
    <w:rsid w:val="004B2AA9"/>
    <w:rsid w:val="004B37B4"/>
    <w:rsid w:val="004B3CA9"/>
    <w:rsid w:val="004B43BD"/>
    <w:rsid w:val="004B4DD1"/>
    <w:rsid w:val="004B5008"/>
    <w:rsid w:val="004B50D4"/>
    <w:rsid w:val="004B55F9"/>
    <w:rsid w:val="004B5805"/>
    <w:rsid w:val="004B5CE9"/>
    <w:rsid w:val="004B699A"/>
    <w:rsid w:val="004B69D4"/>
    <w:rsid w:val="004B75A1"/>
    <w:rsid w:val="004B78E2"/>
    <w:rsid w:val="004C028F"/>
    <w:rsid w:val="004C1804"/>
    <w:rsid w:val="004C33C9"/>
    <w:rsid w:val="004C3C4F"/>
    <w:rsid w:val="004C3D33"/>
    <w:rsid w:val="004C3F48"/>
    <w:rsid w:val="004C44AE"/>
    <w:rsid w:val="004C47E2"/>
    <w:rsid w:val="004C48C6"/>
    <w:rsid w:val="004C4E77"/>
    <w:rsid w:val="004C4EDD"/>
    <w:rsid w:val="004C539A"/>
    <w:rsid w:val="004C5D71"/>
    <w:rsid w:val="004C6163"/>
    <w:rsid w:val="004C6CA2"/>
    <w:rsid w:val="004C7C21"/>
    <w:rsid w:val="004D0AFA"/>
    <w:rsid w:val="004D21BE"/>
    <w:rsid w:val="004D24FA"/>
    <w:rsid w:val="004D29CD"/>
    <w:rsid w:val="004D30FA"/>
    <w:rsid w:val="004D3806"/>
    <w:rsid w:val="004D3A28"/>
    <w:rsid w:val="004D497A"/>
    <w:rsid w:val="004D4CC3"/>
    <w:rsid w:val="004D5940"/>
    <w:rsid w:val="004D5DFD"/>
    <w:rsid w:val="004D66A7"/>
    <w:rsid w:val="004D66F1"/>
    <w:rsid w:val="004D7281"/>
    <w:rsid w:val="004D7A42"/>
    <w:rsid w:val="004E07BE"/>
    <w:rsid w:val="004E0B3A"/>
    <w:rsid w:val="004E33E5"/>
    <w:rsid w:val="004E38AD"/>
    <w:rsid w:val="004E3AB5"/>
    <w:rsid w:val="004E4961"/>
    <w:rsid w:val="004E5142"/>
    <w:rsid w:val="004E52BC"/>
    <w:rsid w:val="004E55A3"/>
    <w:rsid w:val="004E5AE9"/>
    <w:rsid w:val="004E5DAC"/>
    <w:rsid w:val="004E5F27"/>
    <w:rsid w:val="004E6DF8"/>
    <w:rsid w:val="004E7A86"/>
    <w:rsid w:val="004F0022"/>
    <w:rsid w:val="004F0F0A"/>
    <w:rsid w:val="004F1726"/>
    <w:rsid w:val="004F1776"/>
    <w:rsid w:val="004F36F7"/>
    <w:rsid w:val="004F480D"/>
    <w:rsid w:val="004F529E"/>
    <w:rsid w:val="004F5FE4"/>
    <w:rsid w:val="004F72D7"/>
    <w:rsid w:val="004F746B"/>
    <w:rsid w:val="004F75B7"/>
    <w:rsid w:val="004F7C68"/>
    <w:rsid w:val="00500803"/>
    <w:rsid w:val="00500B6F"/>
    <w:rsid w:val="00501D0F"/>
    <w:rsid w:val="00503F88"/>
    <w:rsid w:val="005040C9"/>
    <w:rsid w:val="005054AC"/>
    <w:rsid w:val="00505673"/>
    <w:rsid w:val="00505BDA"/>
    <w:rsid w:val="00505DB6"/>
    <w:rsid w:val="005072EA"/>
    <w:rsid w:val="0050766C"/>
    <w:rsid w:val="00507EA4"/>
    <w:rsid w:val="0051034D"/>
    <w:rsid w:val="00510E28"/>
    <w:rsid w:val="005122ED"/>
    <w:rsid w:val="005123BE"/>
    <w:rsid w:val="00512E5D"/>
    <w:rsid w:val="0051373C"/>
    <w:rsid w:val="0051380A"/>
    <w:rsid w:val="005140D1"/>
    <w:rsid w:val="00514A83"/>
    <w:rsid w:val="00515017"/>
    <w:rsid w:val="00516941"/>
    <w:rsid w:val="00516A3F"/>
    <w:rsid w:val="00516DC1"/>
    <w:rsid w:val="00517C30"/>
    <w:rsid w:val="005215CD"/>
    <w:rsid w:val="00521E1E"/>
    <w:rsid w:val="00522B2D"/>
    <w:rsid w:val="00523ABD"/>
    <w:rsid w:val="00523C6B"/>
    <w:rsid w:val="00524DE8"/>
    <w:rsid w:val="00525016"/>
    <w:rsid w:val="00525A44"/>
    <w:rsid w:val="00525CE9"/>
    <w:rsid w:val="00525FF1"/>
    <w:rsid w:val="005272B7"/>
    <w:rsid w:val="005273FA"/>
    <w:rsid w:val="00527D76"/>
    <w:rsid w:val="00527DF7"/>
    <w:rsid w:val="005311E9"/>
    <w:rsid w:val="0053195E"/>
    <w:rsid w:val="00531FCD"/>
    <w:rsid w:val="00533D13"/>
    <w:rsid w:val="00534146"/>
    <w:rsid w:val="005351A9"/>
    <w:rsid w:val="0053532D"/>
    <w:rsid w:val="00536369"/>
    <w:rsid w:val="00536B78"/>
    <w:rsid w:val="00536E41"/>
    <w:rsid w:val="0053729E"/>
    <w:rsid w:val="00537903"/>
    <w:rsid w:val="00541325"/>
    <w:rsid w:val="00541689"/>
    <w:rsid w:val="00543239"/>
    <w:rsid w:val="00543C90"/>
    <w:rsid w:val="00544363"/>
    <w:rsid w:val="00544B79"/>
    <w:rsid w:val="0054547B"/>
    <w:rsid w:val="005459D8"/>
    <w:rsid w:val="0054673D"/>
    <w:rsid w:val="00546A7F"/>
    <w:rsid w:val="00547791"/>
    <w:rsid w:val="0055057E"/>
    <w:rsid w:val="00551A32"/>
    <w:rsid w:val="00554BE2"/>
    <w:rsid w:val="005551EF"/>
    <w:rsid w:val="00555407"/>
    <w:rsid w:val="00555D71"/>
    <w:rsid w:val="00556D62"/>
    <w:rsid w:val="00557351"/>
    <w:rsid w:val="0056213F"/>
    <w:rsid w:val="00562DE0"/>
    <w:rsid w:val="00564C4B"/>
    <w:rsid w:val="00565399"/>
    <w:rsid w:val="00565AA0"/>
    <w:rsid w:val="00566489"/>
    <w:rsid w:val="00567CE0"/>
    <w:rsid w:val="00567E7A"/>
    <w:rsid w:val="00570297"/>
    <w:rsid w:val="00570AE6"/>
    <w:rsid w:val="00570C9F"/>
    <w:rsid w:val="00570CD5"/>
    <w:rsid w:val="0057168D"/>
    <w:rsid w:val="00571B24"/>
    <w:rsid w:val="00571B5E"/>
    <w:rsid w:val="00572B0A"/>
    <w:rsid w:val="005743EF"/>
    <w:rsid w:val="00574578"/>
    <w:rsid w:val="00577D9D"/>
    <w:rsid w:val="005807C9"/>
    <w:rsid w:val="00581551"/>
    <w:rsid w:val="00581D48"/>
    <w:rsid w:val="00582461"/>
    <w:rsid w:val="00582845"/>
    <w:rsid w:val="00582E3F"/>
    <w:rsid w:val="00582F2E"/>
    <w:rsid w:val="005833C1"/>
    <w:rsid w:val="00584851"/>
    <w:rsid w:val="005856FD"/>
    <w:rsid w:val="0058589C"/>
    <w:rsid w:val="005858D6"/>
    <w:rsid w:val="00586FF4"/>
    <w:rsid w:val="00590D50"/>
    <w:rsid w:val="00590EB0"/>
    <w:rsid w:val="005918C9"/>
    <w:rsid w:val="005928A1"/>
    <w:rsid w:val="00593455"/>
    <w:rsid w:val="005947F0"/>
    <w:rsid w:val="0059500E"/>
    <w:rsid w:val="0059531D"/>
    <w:rsid w:val="005956C9"/>
    <w:rsid w:val="00595821"/>
    <w:rsid w:val="00596087"/>
    <w:rsid w:val="005968AD"/>
    <w:rsid w:val="0059716B"/>
    <w:rsid w:val="00597ABE"/>
    <w:rsid w:val="00597ED8"/>
    <w:rsid w:val="00597FB8"/>
    <w:rsid w:val="005A20D3"/>
    <w:rsid w:val="005A2598"/>
    <w:rsid w:val="005A2A24"/>
    <w:rsid w:val="005A3AD7"/>
    <w:rsid w:val="005A48B9"/>
    <w:rsid w:val="005A604F"/>
    <w:rsid w:val="005B1128"/>
    <w:rsid w:val="005B145A"/>
    <w:rsid w:val="005B171C"/>
    <w:rsid w:val="005B1776"/>
    <w:rsid w:val="005B2C17"/>
    <w:rsid w:val="005B2E16"/>
    <w:rsid w:val="005B3C3D"/>
    <w:rsid w:val="005B3EF9"/>
    <w:rsid w:val="005B41AF"/>
    <w:rsid w:val="005B42E4"/>
    <w:rsid w:val="005B4D62"/>
    <w:rsid w:val="005B5793"/>
    <w:rsid w:val="005B5E22"/>
    <w:rsid w:val="005B68D5"/>
    <w:rsid w:val="005B7357"/>
    <w:rsid w:val="005B7D6B"/>
    <w:rsid w:val="005B7FD7"/>
    <w:rsid w:val="005C09FF"/>
    <w:rsid w:val="005C14FB"/>
    <w:rsid w:val="005C227C"/>
    <w:rsid w:val="005C2388"/>
    <w:rsid w:val="005C2461"/>
    <w:rsid w:val="005C2D1C"/>
    <w:rsid w:val="005C2EBB"/>
    <w:rsid w:val="005C3266"/>
    <w:rsid w:val="005C3AB9"/>
    <w:rsid w:val="005C49BC"/>
    <w:rsid w:val="005C4DE9"/>
    <w:rsid w:val="005C5456"/>
    <w:rsid w:val="005C5BAC"/>
    <w:rsid w:val="005C626F"/>
    <w:rsid w:val="005C70DE"/>
    <w:rsid w:val="005D0C1B"/>
    <w:rsid w:val="005D0F14"/>
    <w:rsid w:val="005D112B"/>
    <w:rsid w:val="005D146B"/>
    <w:rsid w:val="005D1ADE"/>
    <w:rsid w:val="005D204F"/>
    <w:rsid w:val="005D238A"/>
    <w:rsid w:val="005D268B"/>
    <w:rsid w:val="005D2CB8"/>
    <w:rsid w:val="005D357A"/>
    <w:rsid w:val="005D38C6"/>
    <w:rsid w:val="005D3C83"/>
    <w:rsid w:val="005D4996"/>
    <w:rsid w:val="005D56E8"/>
    <w:rsid w:val="005D647C"/>
    <w:rsid w:val="005E0078"/>
    <w:rsid w:val="005E026C"/>
    <w:rsid w:val="005E062E"/>
    <w:rsid w:val="005E2D35"/>
    <w:rsid w:val="005E3326"/>
    <w:rsid w:val="005E42B4"/>
    <w:rsid w:val="005E4B8B"/>
    <w:rsid w:val="005E4C3E"/>
    <w:rsid w:val="005E5410"/>
    <w:rsid w:val="005E5D14"/>
    <w:rsid w:val="005F0219"/>
    <w:rsid w:val="005F0AFC"/>
    <w:rsid w:val="005F0DA2"/>
    <w:rsid w:val="005F17C9"/>
    <w:rsid w:val="005F3465"/>
    <w:rsid w:val="005F35F6"/>
    <w:rsid w:val="005F3F6A"/>
    <w:rsid w:val="005F4836"/>
    <w:rsid w:val="005F4BD2"/>
    <w:rsid w:val="005F583A"/>
    <w:rsid w:val="005F60C5"/>
    <w:rsid w:val="005F7ACD"/>
    <w:rsid w:val="00601E66"/>
    <w:rsid w:val="006044CF"/>
    <w:rsid w:val="00604849"/>
    <w:rsid w:val="0060545C"/>
    <w:rsid w:val="00605528"/>
    <w:rsid w:val="00605FCD"/>
    <w:rsid w:val="00606220"/>
    <w:rsid w:val="006063D3"/>
    <w:rsid w:val="006065EE"/>
    <w:rsid w:val="0060793E"/>
    <w:rsid w:val="00607A03"/>
    <w:rsid w:val="00607EFC"/>
    <w:rsid w:val="006101D9"/>
    <w:rsid w:val="00611119"/>
    <w:rsid w:val="006111B1"/>
    <w:rsid w:val="00611954"/>
    <w:rsid w:val="00612BBB"/>
    <w:rsid w:val="00614494"/>
    <w:rsid w:val="00614C66"/>
    <w:rsid w:val="0061535F"/>
    <w:rsid w:val="00615A61"/>
    <w:rsid w:val="006166B6"/>
    <w:rsid w:val="00616D83"/>
    <w:rsid w:val="006176E0"/>
    <w:rsid w:val="006176E4"/>
    <w:rsid w:val="0061779F"/>
    <w:rsid w:val="00617D4C"/>
    <w:rsid w:val="00620953"/>
    <w:rsid w:val="006211CF"/>
    <w:rsid w:val="006215C2"/>
    <w:rsid w:val="006220E7"/>
    <w:rsid w:val="006222A0"/>
    <w:rsid w:val="00622EA7"/>
    <w:rsid w:val="0062342C"/>
    <w:rsid w:val="00623A50"/>
    <w:rsid w:val="006245EF"/>
    <w:rsid w:val="00624918"/>
    <w:rsid w:val="0062595D"/>
    <w:rsid w:val="0062769E"/>
    <w:rsid w:val="0063114E"/>
    <w:rsid w:val="00631B47"/>
    <w:rsid w:val="0063223E"/>
    <w:rsid w:val="0063276A"/>
    <w:rsid w:val="00633099"/>
    <w:rsid w:val="006343ED"/>
    <w:rsid w:val="00634573"/>
    <w:rsid w:val="00635298"/>
    <w:rsid w:val="00635421"/>
    <w:rsid w:val="006356AF"/>
    <w:rsid w:val="006359F1"/>
    <w:rsid w:val="00635A37"/>
    <w:rsid w:val="00636195"/>
    <w:rsid w:val="00637A63"/>
    <w:rsid w:val="00640794"/>
    <w:rsid w:val="00640DA1"/>
    <w:rsid w:val="00640E9B"/>
    <w:rsid w:val="00641A1F"/>
    <w:rsid w:val="00642C79"/>
    <w:rsid w:val="00643234"/>
    <w:rsid w:val="006437EC"/>
    <w:rsid w:val="00643D48"/>
    <w:rsid w:val="00643FD2"/>
    <w:rsid w:val="00644ED3"/>
    <w:rsid w:val="0064500A"/>
    <w:rsid w:val="006450E0"/>
    <w:rsid w:val="006460A2"/>
    <w:rsid w:val="0064647B"/>
    <w:rsid w:val="0064667E"/>
    <w:rsid w:val="006467D3"/>
    <w:rsid w:val="00646896"/>
    <w:rsid w:val="006469F7"/>
    <w:rsid w:val="006476BD"/>
    <w:rsid w:val="00647B72"/>
    <w:rsid w:val="006514B1"/>
    <w:rsid w:val="0065198C"/>
    <w:rsid w:val="00651AD2"/>
    <w:rsid w:val="00654BE9"/>
    <w:rsid w:val="00655262"/>
    <w:rsid w:val="0065555D"/>
    <w:rsid w:val="00655C1E"/>
    <w:rsid w:val="00655E27"/>
    <w:rsid w:val="006561E2"/>
    <w:rsid w:val="0065768D"/>
    <w:rsid w:val="00657FE6"/>
    <w:rsid w:val="0066051E"/>
    <w:rsid w:val="00661252"/>
    <w:rsid w:val="00661705"/>
    <w:rsid w:val="00661AA0"/>
    <w:rsid w:val="00661C00"/>
    <w:rsid w:val="006628AE"/>
    <w:rsid w:val="006628F4"/>
    <w:rsid w:val="00662D5E"/>
    <w:rsid w:val="00663970"/>
    <w:rsid w:val="00663C83"/>
    <w:rsid w:val="00663EAF"/>
    <w:rsid w:val="006658B4"/>
    <w:rsid w:val="00666405"/>
    <w:rsid w:val="00666BAF"/>
    <w:rsid w:val="006674D8"/>
    <w:rsid w:val="006676F0"/>
    <w:rsid w:val="00667982"/>
    <w:rsid w:val="00667B9E"/>
    <w:rsid w:val="00670729"/>
    <w:rsid w:val="006719F4"/>
    <w:rsid w:val="006723DB"/>
    <w:rsid w:val="00672498"/>
    <w:rsid w:val="0067290B"/>
    <w:rsid w:val="006734CF"/>
    <w:rsid w:val="006734D9"/>
    <w:rsid w:val="00673548"/>
    <w:rsid w:val="006748D9"/>
    <w:rsid w:val="00675612"/>
    <w:rsid w:val="006759AC"/>
    <w:rsid w:val="00675BFF"/>
    <w:rsid w:val="00675C95"/>
    <w:rsid w:val="00676F70"/>
    <w:rsid w:val="00677AA6"/>
    <w:rsid w:val="00677EB2"/>
    <w:rsid w:val="00677F4C"/>
    <w:rsid w:val="00680398"/>
    <w:rsid w:val="00680AB5"/>
    <w:rsid w:val="0068169E"/>
    <w:rsid w:val="00681E32"/>
    <w:rsid w:val="00681F55"/>
    <w:rsid w:val="0068293A"/>
    <w:rsid w:val="00682EE8"/>
    <w:rsid w:val="0068385F"/>
    <w:rsid w:val="00683992"/>
    <w:rsid w:val="006845D4"/>
    <w:rsid w:val="006853D3"/>
    <w:rsid w:val="006855A9"/>
    <w:rsid w:val="00686917"/>
    <w:rsid w:val="0068706F"/>
    <w:rsid w:val="006875FD"/>
    <w:rsid w:val="0068761C"/>
    <w:rsid w:val="00691223"/>
    <w:rsid w:val="00692532"/>
    <w:rsid w:val="00692B4B"/>
    <w:rsid w:val="00693734"/>
    <w:rsid w:val="00693A17"/>
    <w:rsid w:val="00693E9A"/>
    <w:rsid w:val="006951D3"/>
    <w:rsid w:val="00695927"/>
    <w:rsid w:val="00695CBF"/>
    <w:rsid w:val="0069642D"/>
    <w:rsid w:val="0069662E"/>
    <w:rsid w:val="00696E37"/>
    <w:rsid w:val="0069788A"/>
    <w:rsid w:val="00697B11"/>
    <w:rsid w:val="006A0EF7"/>
    <w:rsid w:val="006A103B"/>
    <w:rsid w:val="006A11D0"/>
    <w:rsid w:val="006A2700"/>
    <w:rsid w:val="006A2ABC"/>
    <w:rsid w:val="006A2BF7"/>
    <w:rsid w:val="006A2C5E"/>
    <w:rsid w:val="006A35E5"/>
    <w:rsid w:val="006A3FA5"/>
    <w:rsid w:val="006A40CF"/>
    <w:rsid w:val="006A56A5"/>
    <w:rsid w:val="006A5D31"/>
    <w:rsid w:val="006A5E98"/>
    <w:rsid w:val="006A6259"/>
    <w:rsid w:val="006A7C07"/>
    <w:rsid w:val="006B15F7"/>
    <w:rsid w:val="006B1C1C"/>
    <w:rsid w:val="006B1E20"/>
    <w:rsid w:val="006B2041"/>
    <w:rsid w:val="006B32B0"/>
    <w:rsid w:val="006B4B26"/>
    <w:rsid w:val="006B4E70"/>
    <w:rsid w:val="006B6C69"/>
    <w:rsid w:val="006B6D22"/>
    <w:rsid w:val="006B72A5"/>
    <w:rsid w:val="006C0811"/>
    <w:rsid w:val="006C0F72"/>
    <w:rsid w:val="006C1EAE"/>
    <w:rsid w:val="006C1F94"/>
    <w:rsid w:val="006C2A33"/>
    <w:rsid w:val="006C2CB2"/>
    <w:rsid w:val="006C2F35"/>
    <w:rsid w:val="006C3202"/>
    <w:rsid w:val="006C3BA3"/>
    <w:rsid w:val="006C3D36"/>
    <w:rsid w:val="006C431D"/>
    <w:rsid w:val="006C53F6"/>
    <w:rsid w:val="006C543E"/>
    <w:rsid w:val="006C5747"/>
    <w:rsid w:val="006C5E5B"/>
    <w:rsid w:val="006C5F86"/>
    <w:rsid w:val="006C642F"/>
    <w:rsid w:val="006C66E8"/>
    <w:rsid w:val="006C6969"/>
    <w:rsid w:val="006C7248"/>
    <w:rsid w:val="006D01D4"/>
    <w:rsid w:val="006D0321"/>
    <w:rsid w:val="006D05D6"/>
    <w:rsid w:val="006D09CA"/>
    <w:rsid w:val="006D1092"/>
    <w:rsid w:val="006D2688"/>
    <w:rsid w:val="006D271A"/>
    <w:rsid w:val="006D309E"/>
    <w:rsid w:val="006D3C17"/>
    <w:rsid w:val="006D3FE7"/>
    <w:rsid w:val="006D470C"/>
    <w:rsid w:val="006D589A"/>
    <w:rsid w:val="006D5D8C"/>
    <w:rsid w:val="006D6513"/>
    <w:rsid w:val="006D69BB"/>
    <w:rsid w:val="006D71C3"/>
    <w:rsid w:val="006D7563"/>
    <w:rsid w:val="006D7EF7"/>
    <w:rsid w:val="006E0302"/>
    <w:rsid w:val="006E04EE"/>
    <w:rsid w:val="006E1BBE"/>
    <w:rsid w:val="006E3922"/>
    <w:rsid w:val="006E4016"/>
    <w:rsid w:val="006E4078"/>
    <w:rsid w:val="006E41A3"/>
    <w:rsid w:val="006E4D55"/>
    <w:rsid w:val="006E68E4"/>
    <w:rsid w:val="006E6FE4"/>
    <w:rsid w:val="006F0390"/>
    <w:rsid w:val="006F039B"/>
    <w:rsid w:val="006F040C"/>
    <w:rsid w:val="006F10C9"/>
    <w:rsid w:val="006F12F0"/>
    <w:rsid w:val="006F24CF"/>
    <w:rsid w:val="006F33F7"/>
    <w:rsid w:val="006F3F43"/>
    <w:rsid w:val="006F4C95"/>
    <w:rsid w:val="006F6671"/>
    <w:rsid w:val="006F6840"/>
    <w:rsid w:val="006F7B73"/>
    <w:rsid w:val="0070054F"/>
    <w:rsid w:val="00700694"/>
    <w:rsid w:val="00700B4E"/>
    <w:rsid w:val="00700B77"/>
    <w:rsid w:val="0070125C"/>
    <w:rsid w:val="00701492"/>
    <w:rsid w:val="00703110"/>
    <w:rsid w:val="00703C7E"/>
    <w:rsid w:val="00704961"/>
    <w:rsid w:val="00704BCE"/>
    <w:rsid w:val="0070559D"/>
    <w:rsid w:val="00705A65"/>
    <w:rsid w:val="00705B25"/>
    <w:rsid w:val="00705F08"/>
    <w:rsid w:val="007069EB"/>
    <w:rsid w:val="007105A7"/>
    <w:rsid w:val="007106B7"/>
    <w:rsid w:val="007106D4"/>
    <w:rsid w:val="0071120B"/>
    <w:rsid w:val="0071258B"/>
    <w:rsid w:val="007134A8"/>
    <w:rsid w:val="007136DF"/>
    <w:rsid w:val="00715299"/>
    <w:rsid w:val="00715663"/>
    <w:rsid w:val="00716135"/>
    <w:rsid w:val="00716191"/>
    <w:rsid w:val="00716636"/>
    <w:rsid w:val="0071776A"/>
    <w:rsid w:val="00717F23"/>
    <w:rsid w:val="0072055B"/>
    <w:rsid w:val="0072167B"/>
    <w:rsid w:val="0072218F"/>
    <w:rsid w:val="00722798"/>
    <w:rsid w:val="00722A01"/>
    <w:rsid w:val="00722A43"/>
    <w:rsid w:val="00722F26"/>
    <w:rsid w:val="00724CFF"/>
    <w:rsid w:val="00725D27"/>
    <w:rsid w:val="007261FE"/>
    <w:rsid w:val="007263A6"/>
    <w:rsid w:val="007268EF"/>
    <w:rsid w:val="007275EF"/>
    <w:rsid w:val="007305C8"/>
    <w:rsid w:val="0073073C"/>
    <w:rsid w:val="00730D21"/>
    <w:rsid w:val="00731E4B"/>
    <w:rsid w:val="00733144"/>
    <w:rsid w:val="00733454"/>
    <w:rsid w:val="00733900"/>
    <w:rsid w:val="00733A49"/>
    <w:rsid w:val="00734A76"/>
    <w:rsid w:val="007354BB"/>
    <w:rsid w:val="00735703"/>
    <w:rsid w:val="00735926"/>
    <w:rsid w:val="00736395"/>
    <w:rsid w:val="00736788"/>
    <w:rsid w:val="00736AF6"/>
    <w:rsid w:val="007372E5"/>
    <w:rsid w:val="00740F29"/>
    <w:rsid w:val="00741086"/>
    <w:rsid w:val="0074197E"/>
    <w:rsid w:val="00742C8F"/>
    <w:rsid w:val="00742CDF"/>
    <w:rsid w:val="007448B6"/>
    <w:rsid w:val="00746C19"/>
    <w:rsid w:val="00747338"/>
    <w:rsid w:val="007478D9"/>
    <w:rsid w:val="00747AB6"/>
    <w:rsid w:val="00747C3F"/>
    <w:rsid w:val="007515BB"/>
    <w:rsid w:val="00751A52"/>
    <w:rsid w:val="0075234C"/>
    <w:rsid w:val="00752B72"/>
    <w:rsid w:val="00752BA8"/>
    <w:rsid w:val="00752C60"/>
    <w:rsid w:val="007536D7"/>
    <w:rsid w:val="0075404F"/>
    <w:rsid w:val="00754054"/>
    <w:rsid w:val="007547DC"/>
    <w:rsid w:val="00755C5D"/>
    <w:rsid w:val="00756538"/>
    <w:rsid w:val="007565C6"/>
    <w:rsid w:val="00756C73"/>
    <w:rsid w:val="007573EE"/>
    <w:rsid w:val="00760FEA"/>
    <w:rsid w:val="00763472"/>
    <w:rsid w:val="00764E8E"/>
    <w:rsid w:val="0076586E"/>
    <w:rsid w:val="00766C5C"/>
    <w:rsid w:val="00766E16"/>
    <w:rsid w:val="00767B96"/>
    <w:rsid w:val="00767C47"/>
    <w:rsid w:val="0077004B"/>
    <w:rsid w:val="00770867"/>
    <w:rsid w:val="007709BE"/>
    <w:rsid w:val="00771A98"/>
    <w:rsid w:val="00771E42"/>
    <w:rsid w:val="00772F43"/>
    <w:rsid w:val="007741A2"/>
    <w:rsid w:val="007747C5"/>
    <w:rsid w:val="00774A26"/>
    <w:rsid w:val="007754CF"/>
    <w:rsid w:val="0077643C"/>
    <w:rsid w:val="00776D37"/>
    <w:rsid w:val="00777B37"/>
    <w:rsid w:val="00781E49"/>
    <w:rsid w:val="00782521"/>
    <w:rsid w:val="0078289D"/>
    <w:rsid w:val="00782E4C"/>
    <w:rsid w:val="007831CE"/>
    <w:rsid w:val="00784D40"/>
    <w:rsid w:val="007856A3"/>
    <w:rsid w:val="00785BE1"/>
    <w:rsid w:val="00785DBC"/>
    <w:rsid w:val="00787058"/>
    <w:rsid w:val="0078745D"/>
    <w:rsid w:val="00790437"/>
    <w:rsid w:val="00790E55"/>
    <w:rsid w:val="007922B3"/>
    <w:rsid w:val="0079299C"/>
    <w:rsid w:val="00793342"/>
    <w:rsid w:val="00793BE4"/>
    <w:rsid w:val="00794DBA"/>
    <w:rsid w:val="007953E8"/>
    <w:rsid w:val="007959C5"/>
    <w:rsid w:val="0079631A"/>
    <w:rsid w:val="007964B5"/>
    <w:rsid w:val="0079695E"/>
    <w:rsid w:val="00796ACB"/>
    <w:rsid w:val="00797553"/>
    <w:rsid w:val="007A0F16"/>
    <w:rsid w:val="007A185D"/>
    <w:rsid w:val="007A1991"/>
    <w:rsid w:val="007A1FBE"/>
    <w:rsid w:val="007A234B"/>
    <w:rsid w:val="007A2C51"/>
    <w:rsid w:val="007A3D78"/>
    <w:rsid w:val="007A56B3"/>
    <w:rsid w:val="007B005B"/>
    <w:rsid w:val="007B1130"/>
    <w:rsid w:val="007B1682"/>
    <w:rsid w:val="007B1A68"/>
    <w:rsid w:val="007B1FA9"/>
    <w:rsid w:val="007B24ED"/>
    <w:rsid w:val="007B2834"/>
    <w:rsid w:val="007B2E8B"/>
    <w:rsid w:val="007B3985"/>
    <w:rsid w:val="007B3A5F"/>
    <w:rsid w:val="007B478D"/>
    <w:rsid w:val="007B4A1A"/>
    <w:rsid w:val="007B4AA3"/>
    <w:rsid w:val="007B51B2"/>
    <w:rsid w:val="007B534E"/>
    <w:rsid w:val="007B6C89"/>
    <w:rsid w:val="007B6EA1"/>
    <w:rsid w:val="007B715B"/>
    <w:rsid w:val="007B7F8E"/>
    <w:rsid w:val="007C12AD"/>
    <w:rsid w:val="007C197E"/>
    <w:rsid w:val="007C2085"/>
    <w:rsid w:val="007C2F15"/>
    <w:rsid w:val="007C3498"/>
    <w:rsid w:val="007C3BBC"/>
    <w:rsid w:val="007C3DC7"/>
    <w:rsid w:val="007C3FB5"/>
    <w:rsid w:val="007C4772"/>
    <w:rsid w:val="007C47A5"/>
    <w:rsid w:val="007C598A"/>
    <w:rsid w:val="007C6CDF"/>
    <w:rsid w:val="007C7AFE"/>
    <w:rsid w:val="007D00E4"/>
    <w:rsid w:val="007D1BDC"/>
    <w:rsid w:val="007D1FB6"/>
    <w:rsid w:val="007D2660"/>
    <w:rsid w:val="007D27B8"/>
    <w:rsid w:val="007D3195"/>
    <w:rsid w:val="007D3226"/>
    <w:rsid w:val="007D4620"/>
    <w:rsid w:val="007D4A38"/>
    <w:rsid w:val="007D51E4"/>
    <w:rsid w:val="007D61FC"/>
    <w:rsid w:val="007D6C49"/>
    <w:rsid w:val="007D6C5D"/>
    <w:rsid w:val="007D7065"/>
    <w:rsid w:val="007D7466"/>
    <w:rsid w:val="007E078F"/>
    <w:rsid w:val="007E09FD"/>
    <w:rsid w:val="007E0A3E"/>
    <w:rsid w:val="007E2B62"/>
    <w:rsid w:val="007E37D7"/>
    <w:rsid w:val="007E4AF3"/>
    <w:rsid w:val="007E4AFB"/>
    <w:rsid w:val="007E5E40"/>
    <w:rsid w:val="007E6059"/>
    <w:rsid w:val="007E7D66"/>
    <w:rsid w:val="007F0015"/>
    <w:rsid w:val="007F01B8"/>
    <w:rsid w:val="007F10C2"/>
    <w:rsid w:val="007F1458"/>
    <w:rsid w:val="007F1539"/>
    <w:rsid w:val="007F1984"/>
    <w:rsid w:val="007F2697"/>
    <w:rsid w:val="007F2C32"/>
    <w:rsid w:val="007F44BF"/>
    <w:rsid w:val="007F6082"/>
    <w:rsid w:val="007F6205"/>
    <w:rsid w:val="007F65C3"/>
    <w:rsid w:val="007F7556"/>
    <w:rsid w:val="007F7705"/>
    <w:rsid w:val="007F7CD2"/>
    <w:rsid w:val="00800C9E"/>
    <w:rsid w:val="008010D9"/>
    <w:rsid w:val="00801C06"/>
    <w:rsid w:val="008022FF"/>
    <w:rsid w:val="00802505"/>
    <w:rsid w:val="00803578"/>
    <w:rsid w:val="008036AE"/>
    <w:rsid w:val="00804F06"/>
    <w:rsid w:val="00805059"/>
    <w:rsid w:val="0080569A"/>
    <w:rsid w:val="00806449"/>
    <w:rsid w:val="00806935"/>
    <w:rsid w:val="008075E9"/>
    <w:rsid w:val="0080782E"/>
    <w:rsid w:val="00807B1E"/>
    <w:rsid w:val="00810B6B"/>
    <w:rsid w:val="00812E28"/>
    <w:rsid w:val="00813018"/>
    <w:rsid w:val="00814D0F"/>
    <w:rsid w:val="0081545A"/>
    <w:rsid w:val="0081626C"/>
    <w:rsid w:val="008164EA"/>
    <w:rsid w:val="008165ED"/>
    <w:rsid w:val="00817A63"/>
    <w:rsid w:val="00820AF0"/>
    <w:rsid w:val="008211C5"/>
    <w:rsid w:val="00822404"/>
    <w:rsid w:val="0082301F"/>
    <w:rsid w:val="00823272"/>
    <w:rsid w:val="00826C22"/>
    <w:rsid w:val="00826C5A"/>
    <w:rsid w:val="00826F54"/>
    <w:rsid w:val="00827365"/>
    <w:rsid w:val="00830ED5"/>
    <w:rsid w:val="008327A5"/>
    <w:rsid w:val="00832BB6"/>
    <w:rsid w:val="00834B3B"/>
    <w:rsid w:val="00835240"/>
    <w:rsid w:val="0083659E"/>
    <w:rsid w:val="008366D1"/>
    <w:rsid w:val="00836DEA"/>
    <w:rsid w:val="00841005"/>
    <w:rsid w:val="00841EFC"/>
    <w:rsid w:val="008438FF"/>
    <w:rsid w:val="00843B53"/>
    <w:rsid w:val="00844414"/>
    <w:rsid w:val="0084503E"/>
    <w:rsid w:val="0084540B"/>
    <w:rsid w:val="0084714D"/>
    <w:rsid w:val="0084724A"/>
    <w:rsid w:val="00847EF5"/>
    <w:rsid w:val="00851909"/>
    <w:rsid w:val="00851B9D"/>
    <w:rsid w:val="00852BA2"/>
    <w:rsid w:val="00853583"/>
    <w:rsid w:val="00853E93"/>
    <w:rsid w:val="00854266"/>
    <w:rsid w:val="008548A5"/>
    <w:rsid w:val="008562DA"/>
    <w:rsid w:val="008564C2"/>
    <w:rsid w:val="00856A61"/>
    <w:rsid w:val="00857EAB"/>
    <w:rsid w:val="00860053"/>
    <w:rsid w:val="00860407"/>
    <w:rsid w:val="008612DF"/>
    <w:rsid w:val="00861490"/>
    <w:rsid w:val="00861A25"/>
    <w:rsid w:val="0086221E"/>
    <w:rsid w:val="0086351F"/>
    <w:rsid w:val="008647E1"/>
    <w:rsid w:val="00864F1F"/>
    <w:rsid w:val="008666B8"/>
    <w:rsid w:val="00866D98"/>
    <w:rsid w:val="00866DFE"/>
    <w:rsid w:val="008672E9"/>
    <w:rsid w:val="00867419"/>
    <w:rsid w:val="00867C1B"/>
    <w:rsid w:val="00872D7B"/>
    <w:rsid w:val="00873878"/>
    <w:rsid w:val="00873F8E"/>
    <w:rsid w:val="00874009"/>
    <w:rsid w:val="0087453F"/>
    <w:rsid w:val="00874F3F"/>
    <w:rsid w:val="00875A89"/>
    <w:rsid w:val="00875C0A"/>
    <w:rsid w:val="00876C99"/>
    <w:rsid w:val="00877167"/>
    <w:rsid w:val="00877525"/>
    <w:rsid w:val="008779FC"/>
    <w:rsid w:val="00877A53"/>
    <w:rsid w:val="008806B3"/>
    <w:rsid w:val="00880B7F"/>
    <w:rsid w:val="00880CA8"/>
    <w:rsid w:val="00881143"/>
    <w:rsid w:val="008818BB"/>
    <w:rsid w:val="00881909"/>
    <w:rsid w:val="00881E17"/>
    <w:rsid w:val="008848BE"/>
    <w:rsid w:val="00884E47"/>
    <w:rsid w:val="00884EAA"/>
    <w:rsid w:val="00885017"/>
    <w:rsid w:val="008851D6"/>
    <w:rsid w:val="00885794"/>
    <w:rsid w:val="00887F5E"/>
    <w:rsid w:val="00890755"/>
    <w:rsid w:val="0089125F"/>
    <w:rsid w:val="008912C5"/>
    <w:rsid w:val="008912E3"/>
    <w:rsid w:val="00891404"/>
    <w:rsid w:val="0089152E"/>
    <w:rsid w:val="008915F9"/>
    <w:rsid w:val="00892A6F"/>
    <w:rsid w:val="00892B49"/>
    <w:rsid w:val="00892BB1"/>
    <w:rsid w:val="00893DF1"/>
    <w:rsid w:val="0089440B"/>
    <w:rsid w:val="00894B47"/>
    <w:rsid w:val="00895B34"/>
    <w:rsid w:val="00897CB1"/>
    <w:rsid w:val="008A1D94"/>
    <w:rsid w:val="008A1F59"/>
    <w:rsid w:val="008A21F4"/>
    <w:rsid w:val="008A22AA"/>
    <w:rsid w:val="008A242C"/>
    <w:rsid w:val="008A2964"/>
    <w:rsid w:val="008A34BD"/>
    <w:rsid w:val="008A37C7"/>
    <w:rsid w:val="008A3A38"/>
    <w:rsid w:val="008A491C"/>
    <w:rsid w:val="008A5E6B"/>
    <w:rsid w:val="008A6818"/>
    <w:rsid w:val="008A6BED"/>
    <w:rsid w:val="008A716C"/>
    <w:rsid w:val="008A7751"/>
    <w:rsid w:val="008A7A12"/>
    <w:rsid w:val="008A7AAD"/>
    <w:rsid w:val="008A7B7A"/>
    <w:rsid w:val="008A7C57"/>
    <w:rsid w:val="008B3C07"/>
    <w:rsid w:val="008B3C49"/>
    <w:rsid w:val="008B623F"/>
    <w:rsid w:val="008B65DB"/>
    <w:rsid w:val="008B75F1"/>
    <w:rsid w:val="008B79A3"/>
    <w:rsid w:val="008B79FB"/>
    <w:rsid w:val="008B7A39"/>
    <w:rsid w:val="008C062D"/>
    <w:rsid w:val="008C253E"/>
    <w:rsid w:val="008C3BCB"/>
    <w:rsid w:val="008C3E6A"/>
    <w:rsid w:val="008C46BE"/>
    <w:rsid w:val="008C4AD7"/>
    <w:rsid w:val="008C5297"/>
    <w:rsid w:val="008C6473"/>
    <w:rsid w:val="008C6C32"/>
    <w:rsid w:val="008D0915"/>
    <w:rsid w:val="008D13EA"/>
    <w:rsid w:val="008D2076"/>
    <w:rsid w:val="008D23F2"/>
    <w:rsid w:val="008D35FB"/>
    <w:rsid w:val="008D393C"/>
    <w:rsid w:val="008D3EC9"/>
    <w:rsid w:val="008D4E75"/>
    <w:rsid w:val="008D6DD3"/>
    <w:rsid w:val="008D7205"/>
    <w:rsid w:val="008D7F68"/>
    <w:rsid w:val="008E0238"/>
    <w:rsid w:val="008E09E8"/>
    <w:rsid w:val="008E1DA6"/>
    <w:rsid w:val="008E2469"/>
    <w:rsid w:val="008E25E7"/>
    <w:rsid w:val="008E322E"/>
    <w:rsid w:val="008E3465"/>
    <w:rsid w:val="008E47B0"/>
    <w:rsid w:val="008E50A8"/>
    <w:rsid w:val="008E541D"/>
    <w:rsid w:val="008E59D3"/>
    <w:rsid w:val="008E6768"/>
    <w:rsid w:val="008E67A9"/>
    <w:rsid w:val="008E7429"/>
    <w:rsid w:val="008E7A92"/>
    <w:rsid w:val="008F084D"/>
    <w:rsid w:val="008F0A97"/>
    <w:rsid w:val="008F10B6"/>
    <w:rsid w:val="008F110D"/>
    <w:rsid w:val="008F1515"/>
    <w:rsid w:val="008F1B33"/>
    <w:rsid w:val="008F2765"/>
    <w:rsid w:val="008F3879"/>
    <w:rsid w:val="008F3DF4"/>
    <w:rsid w:val="008F49FC"/>
    <w:rsid w:val="008F5B2D"/>
    <w:rsid w:val="008F5C80"/>
    <w:rsid w:val="008F6167"/>
    <w:rsid w:val="008F7974"/>
    <w:rsid w:val="008F7E0B"/>
    <w:rsid w:val="008F7F87"/>
    <w:rsid w:val="009006EA"/>
    <w:rsid w:val="009009C2"/>
    <w:rsid w:val="00902D5B"/>
    <w:rsid w:val="00902F2C"/>
    <w:rsid w:val="00903731"/>
    <w:rsid w:val="00904578"/>
    <w:rsid w:val="00907139"/>
    <w:rsid w:val="0090745D"/>
    <w:rsid w:val="00907FD1"/>
    <w:rsid w:val="00907FE8"/>
    <w:rsid w:val="00911E2B"/>
    <w:rsid w:val="009121E7"/>
    <w:rsid w:val="00912669"/>
    <w:rsid w:val="00912C50"/>
    <w:rsid w:val="00913BA0"/>
    <w:rsid w:val="00913EEC"/>
    <w:rsid w:val="00914285"/>
    <w:rsid w:val="009143B4"/>
    <w:rsid w:val="009145E1"/>
    <w:rsid w:val="0091594F"/>
    <w:rsid w:val="00916136"/>
    <w:rsid w:val="0091621E"/>
    <w:rsid w:val="009162B7"/>
    <w:rsid w:val="00916698"/>
    <w:rsid w:val="00916826"/>
    <w:rsid w:val="0091682E"/>
    <w:rsid w:val="009177AA"/>
    <w:rsid w:val="009203A9"/>
    <w:rsid w:val="00921607"/>
    <w:rsid w:val="00921B26"/>
    <w:rsid w:val="00921BE9"/>
    <w:rsid w:val="00921CDE"/>
    <w:rsid w:val="00921D2C"/>
    <w:rsid w:val="00921D52"/>
    <w:rsid w:val="00922155"/>
    <w:rsid w:val="0092342F"/>
    <w:rsid w:val="00923CD6"/>
    <w:rsid w:val="009240A8"/>
    <w:rsid w:val="00924966"/>
    <w:rsid w:val="00924DDF"/>
    <w:rsid w:val="00924E32"/>
    <w:rsid w:val="00925024"/>
    <w:rsid w:val="009255F3"/>
    <w:rsid w:val="009269BF"/>
    <w:rsid w:val="00930171"/>
    <w:rsid w:val="009303DA"/>
    <w:rsid w:val="0093049C"/>
    <w:rsid w:val="0093083C"/>
    <w:rsid w:val="009314FA"/>
    <w:rsid w:val="00932636"/>
    <w:rsid w:val="0093283D"/>
    <w:rsid w:val="00933809"/>
    <w:rsid w:val="00934A70"/>
    <w:rsid w:val="009367AB"/>
    <w:rsid w:val="00936832"/>
    <w:rsid w:val="00937A24"/>
    <w:rsid w:val="00937A2D"/>
    <w:rsid w:val="0094039F"/>
    <w:rsid w:val="0094074D"/>
    <w:rsid w:val="00940B05"/>
    <w:rsid w:val="009415C4"/>
    <w:rsid w:val="009415E4"/>
    <w:rsid w:val="00942CAD"/>
    <w:rsid w:val="00943F1B"/>
    <w:rsid w:val="009445F4"/>
    <w:rsid w:val="0094513D"/>
    <w:rsid w:val="0094684B"/>
    <w:rsid w:val="00947091"/>
    <w:rsid w:val="00947BF2"/>
    <w:rsid w:val="00950003"/>
    <w:rsid w:val="009500DE"/>
    <w:rsid w:val="00950CFF"/>
    <w:rsid w:val="0095128C"/>
    <w:rsid w:val="009518E1"/>
    <w:rsid w:val="00951D5F"/>
    <w:rsid w:val="00952D45"/>
    <w:rsid w:val="0095390A"/>
    <w:rsid w:val="009549E2"/>
    <w:rsid w:val="00954E72"/>
    <w:rsid w:val="0095523A"/>
    <w:rsid w:val="00955323"/>
    <w:rsid w:val="00955658"/>
    <w:rsid w:val="00955DF9"/>
    <w:rsid w:val="00956140"/>
    <w:rsid w:val="00957332"/>
    <w:rsid w:val="0095784E"/>
    <w:rsid w:val="009604FF"/>
    <w:rsid w:val="0096256D"/>
    <w:rsid w:val="009629AC"/>
    <w:rsid w:val="00962A04"/>
    <w:rsid w:val="00963890"/>
    <w:rsid w:val="00963D82"/>
    <w:rsid w:val="0096454C"/>
    <w:rsid w:val="009654D0"/>
    <w:rsid w:val="00965658"/>
    <w:rsid w:val="009656EA"/>
    <w:rsid w:val="0096594D"/>
    <w:rsid w:val="00966811"/>
    <w:rsid w:val="00970083"/>
    <w:rsid w:val="00970376"/>
    <w:rsid w:val="00970F95"/>
    <w:rsid w:val="00971F28"/>
    <w:rsid w:val="009743CE"/>
    <w:rsid w:val="009758A6"/>
    <w:rsid w:val="00976278"/>
    <w:rsid w:val="00977040"/>
    <w:rsid w:val="0098075C"/>
    <w:rsid w:val="009812F3"/>
    <w:rsid w:val="00982D05"/>
    <w:rsid w:val="00984351"/>
    <w:rsid w:val="00984402"/>
    <w:rsid w:val="009851A2"/>
    <w:rsid w:val="00987160"/>
    <w:rsid w:val="00987B9A"/>
    <w:rsid w:val="00990388"/>
    <w:rsid w:val="0099091A"/>
    <w:rsid w:val="00991FAB"/>
    <w:rsid w:val="00992020"/>
    <w:rsid w:val="00992F50"/>
    <w:rsid w:val="00993A8A"/>
    <w:rsid w:val="009950EC"/>
    <w:rsid w:val="009953AF"/>
    <w:rsid w:val="00995ECB"/>
    <w:rsid w:val="0099611F"/>
    <w:rsid w:val="009969B9"/>
    <w:rsid w:val="009A0294"/>
    <w:rsid w:val="009A0F7E"/>
    <w:rsid w:val="009A17B9"/>
    <w:rsid w:val="009A2250"/>
    <w:rsid w:val="009A2CF3"/>
    <w:rsid w:val="009A3279"/>
    <w:rsid w:val="009A36A7"/>
    <w:rsid w:val="009A4694"/>
    <w:rsid w:val="009A46AB"/>
    <w:rsid w:val="009A4D43"/>
    <w:rsid w:val="009A4D66"/>
    <w:rsid w:val="009A57AA"/>
    <w:rsid w:val="009A5D87"/>
    <w:rsid w:val="009A6A2A"/>
    <w:rsid w:val="009A7858"/>
    <w:rsid w:val="009B1A8F"/>
    <w:rsid w:val="009B1D5D"/>
    <w:rsid w:val="009B2E93"/>
    <w:rsid w:val="009B31E5"/>
    <w:rsid w:val="009B3A64"/>
    <w:rsid w:val="009B3C20"/>
    <w:rsid w:val="009B3DF3"/>
    <w:rsid w:val="009B40BA"/>
    <w:rsid w:val="009B5A94"/>
    <w:rsid w:val="009B5C98"/>
    <w:rsid w:val="009B5E27"/>
    <w:rsid w:val="009B6E3A"/>
    <w:rsid w:val="009C00E0"/>
    <w:rsid w:val="009C0281"/>
    <w:rsid w:val="009C0CE8"/>
    <w:rsid w:val="009C1F64"/>
    <w:rsid w:val="009C30FD"/>
    <w:rsid w:val="009C39B9"/>
    <w:rsid w:val="009C3E71"/>
    <w:rsid w:val="009C4333"/>
    <w:rsid w:val="009C5BC2"/>
    <w:rsid w:val="009C6782"/>
    <w:rsid w:val="009C67D5"/>
    <w:rsid w:val="009C69D8"/>
    <w:rsid w:val="009C6BA0"/>
    <w:rsid w:val="009C74B4"/>
    <w:rsid w:val="009C75AD"/>
    <w:rsid w:val="009D1173"/>
    <w:rsid w:val="009D1F1D"/>
    <w:rsid w:val="009D2CF0"/>
    <w:rsid w:val="009D389A"/>
    <w:rsid w:val="009D3B32"/>
    <w:rsid w:val="009D46D3"/>
    <w:rsid w:val="009D5D86"/>
    <w:rsid w:val="009D6429"/>
    <w:rsid w:val="009D70DC"/>
    <w:rsid w:val="009D7640"/>
    <w:rsid w:val="009D7894"/>
    <w:rsid w:val="009E00A2"/>
    <w:rsid w:val="009E0370"/>
    <w:rsid w:val="009E0C20"/>
    <w:rsid w:val="009E0D7E"/>
    <w:rsid w:val="009E19A1"/>
    <w:rsid w:val="009E20F8"/>
    <w:rsid w:val="009E2296"/>
    <w:rsid w:val="009E29C3"/>
    <w:rsid w:val="009E3229"/>
    <w:rsid w:val="009E3C65"/>
    <w:rsid w:val="009E49DF"/>
    <w:rsid w:val="009E4A30"/>
    <w:rsid w:val="009E5178"/>
    <w:rsid w:val="009E5187"/>
    <w:rsid w:val="009E55DD"/>
    <w:rsid w:val="009E5B00"/>
    <w:rsid w:val="009E68B5"/>
    <w:rsid w:val="009E6E36"/>
    <w:rsid w:val="009E70F7"/>
    <w:rsid w:val="009E7ECE"/>
    <w:rsid w:val="009F0FD2"/>
    <w:rsid w:val="009F16F5"/>
    <w:rsid w:val="009F1FF2"/>
    <w:rsid w:val="009F23CF"/>
    <w:rsid w:val="009F3591"/>
    <w:rsid w:val="009F5FE0"/>
    <w:rsid w:val="009F657E"/>
    <w:rsid w:val="009F70B6"/>
    <w:rsid w:val="00A005F5"/>
    <w:rsid w:val="00A027BD"/>
    <w:rsid w:val="00A0286C"/>
    <w:rsid w:val="00A03500"/>
    <w:rsid w:val="00A04338"/>
    <w:rsid w:val="00A0439D"/>
    <w:rsid w:val="00A04E66"/>
    <w:rsid w:val="00A050B0"/>
    <w:rsid w:val="00A054F1"/>
    <w:rsid w:val="00A1004B"/>
    <w:rsid w:val="00A10A79"/>
    <w:rsid w:val="00A11A67"/>
    <w:rsid w:val="00A11EBE"/>
    <w:rsid w:val="00A13953"/>
    <w:rsid w:val="00A13BA5"/>
    <w:rsid w:val="00A13F52"/>
    <w:rsid w:val="00A1550B"/>
    <w:rsid w:val="00A15523"/>
    <w:rsid w:val="00A157C9"/>
    <w:rsid w:val="00A15C4C"/>
    <w:rsid w:val="00A15E1D"/>
    <w:rsid w:val="00A20133"/>
    <w:rsid w:val="00A208E4"/>
    <w:rsid w:val="00A20F58"/>
    <w:rsid w:val="00A2244F"/>
    <w:rsid w:val="00A22BFD"/>
    <w:rsid w:val="00A22DF7"/>
    <w:rsid w:val="00A23FA7"/>
    <w:rsid w:val="00A24DE5"/>
    <w:rsid w:val="00A25977"/>
    <w:rsid w:val="00A25A9D"/>
    <w:rsid w:val="00A25AD1"/>
    <w:rsid w:val="00A26931"/>
    <w:rsid w:val="00A277CD"/>
    <w:rsid w:val="00A304B6"/>
    <w:rsid w:val="00A30CBA"/>
    <w:rsid w:val="00A31859"/>
    <w:rsid w:val="00A32290"/>
    <w:rsid w:val="00A322B1"/>
    <w:rsid w:val="00A328FB"/>
    <w:rsid w:val="00A329F9"/>
    <w:rsid w:val="00A32AB5"/>
    <w:rsid w:val="00A331C8"/>
    <w:rsid w:val="00A33260"/>
    <w:rsid w:val="00A33F0F"/>
    <w:rsid w:val="00A34E91"/>
    <w:rsid w:val="00A363EF"/>
    <w:rsid w:val="00A373FB"/>
    <w:rsid w:val="00A40141"/>
    <w:rsid w:val="00A40C33"/>
    <w:rsid w:val="00A40D22"/>
    <w:rsid w:val="00A4159B"/>
    <w:rsid w:val="00A42826"/>
    <w:rsid w:val="00A431FB"/>
    <w:rsid w:val="00A45298"/>
    <w:rsid w:val="00A45950"/>
    <w:rsid w:val="00A461EF"/>
    <w:rsid w:val="00A46303"/>
    <w:rsid w:val="00A46F77"/>
    <w:rsid w:val="00A477DA"/>
    <w:rsid w:val="00A506C5"/>
    <w:rsid w:val="00A51079"/>
    <w:rsid w:val="00A51926"/>
    <w:rsid w:val="00A51C2C"/>
    <w:rsid w:val="00A5301D"/>
    <w:rsid w:val="00A5390A"/>
    <w:rsid w:val="00A53AB2"/>
    <w:rsid w:val="00A53CAB"/>
    <w:rsid w:val="00A53ED6"/>
    <w:rsid w:val="00A542C6"/>
    <w:rsid w:val="00A553EE"/>
    <w:rsid w:val="00A55710"/>
    <w:rsid w:val="00A55F1F"/>
    <w:rsid w:val="00A56B35"/>
    <w:rsid w:val="00A60842"/>
    <w:rsid w:val="00A61219"/>
    <w:rsid w:val="00A61388"/>
    <w:rsid w:val="00A6421D"/>
    <w:rsid w:val="00A64A2A"/>
    <w:rsid w:val="00A64B6F"/>
    <w:rsid w:val="00A65055"/>
    <w:rsid w:val="00A656FC"/>
    <w:rsid w:val="00A659BA"/>
    <w:rsid w:val="00A66373"/>
    <w:rsid w:val="00A667FF"/>
    <w:rsid w:val="00A66CE8"/>
    <w:rsid w:val="00A6716B"/>
    <w:rsid w:val="00A672B8"/>
    <w:rsid w:val="00A72422"/>
    <w:rsid w:val="00A7263E"/>
    <w:rsid w:val="00A726A4"/>
    <w:rsid w:val="00A72D39"/>
    <w:rsid w:val="00A72DD6"/>
    <w:rsid w:val="00A735E5"/>
    <w:rsid w:val="00A739BC"/>
    <w:rsid w:val="00A76E8F"/>
    <w:rsid w:val="00A77E0C"/>
    <w:rsid w:val="00A80A68"/>
    <w:rsid w:val="00A80B5D"/>
    <w:rsid w:val="00A80F88"/>
    <w:rsid w:val="00A81250"/>
    <w:rsid w:val="00A813DD"/>
    <w:rsid w:val="00A81B80"/>
    <w:rsid w:val="00A81D8A"/>
    <w:rsid w:val="00A82333"/>
    <w:rsid w:val="00A83157"/>
    <w:rsid w:val="00A8356C"/>
    <w:rsid w:val="00A83C5C"/>
    <w:rsid w:val="00A8571D"/>
    <w:rsid w:val="00A85872"/>
    <w:rsid w:val="00A86220"/>
    <w:rsid w:val="00A86399"/>
    <w:rsid w:val="00A879B5"/>
    <w:rsid w:val="00A90804"/>
    <w:rsid w:val="00A92354"/>
    <w:rsid w:val="00A92AD3"/>
    <w:rsid w:val="00A930D6"/>
    <w:rsid w:val="00A938B4"/>
    <w:rsid w:val="00A94F1E"/>
    <w:rsid w:val="00A953DD"/>
    <w:rsid w:val="00A95566"/>
    <w:rsid w:val="00A96D60"/>
    <w:rsid w:val="00A971C9"/>
    <w:rsid w:val="00A976D5"/>
    <w:rsid w:val="00AA006D"/>
    <w:rsid w:val="00AA0C8B"/>
    <w:rsid w:val="00AA1312"/>
    <w:rsid w:val="00AA2B2E"/>
    <w:rsid w:val="00AA4050"/>
    <w:rsid w:val="00AA4212"/>
    <w:rsid w:val="00AA511D"/>
    <w:rsid w:val="00AA5CD8"/>
    <w:rsid w:val="00AA5D50"/>
    <w:rsid w:val="00AA6BFE"/>
    <w:rsid w:val="00AA6C08"/>
    <w:rsid w:val="00AA6C36"/>
    <w:rsid w:val="00AA7357"/>
    <w:rsid w:val="00AA7883"/>
    <w:rsid w:val="00AA79D9"/>
    <w:rsid w:val="00AA7E72"/>
    <w:rsid w:val="00AB0977"/>
    <w:rsid w:val="00AB15BC"/>
    <w:rsid w:val="00AB282D"/>
    <w:rsid w:val="00AB291C"/>
    <w:rsid w:val="00AB2FD0"/>
    <w:rsid w:val="00AB583D"/>
    <w:rsid w:val="00AB5BCD"/>
    <w:rsid w:val="00AB6383"/>
    <w:rsid w:val="00AB767E"/>
    <w:rsid w:val="00AB7D66"/>
    <w:rsid w:val="00AB7E38"/>
    <w:rsid w:val="00AC0122"/>
    <w:rsid w:val="00AC02D2"/>
    <w:rsid w:val="00AC0631"/>
    <w:rsid w:val="00AC151A"/>
    <w:rsid w:val="00AC17F6"/>
    <w:rsid w:val="00AC1E5C"/>
    <w:rsid w:val="00AC2530"/>
    <w:rsid w:val="00AC2B7C"/>
    <w:rsid w:val="00AC4227"/>
    <w:rsid w:val="00AC4438"/>
    <w:rsid w:val="00AC44B7"/>
    <w:rsid w:val="00AC517E"/>
    <w:rsid w:val="00AC5B90"/>
    <w:rsid w:val="00AC78D1"/>
    <w:rsid w:val="00AC7D9C"/>
    <w:rsid w:val="00AD03B6"/>
    <w:rsid w:val="00AD0540"/>
    <w:rsid w:val="00AD180F"/>
    <w:rsid w:val="00AD24C4"/>
    <w:rsid w:val="00AD2B57"/>
    <w:rsid w:val="00AD36F0"/>
    <w:rsid w:val="00AD3754"/>
    <w:rsid w:val="00AD410C"/>
    <w:rsid w:val="00AD5B73"/>
    <w:rsid w:val="00AD63A9"/>
    <w:rsid w:val="00AD67F7"/>
    <w:rsid w:val="00AD6847"/>
    <w:rsid w:val="00AD68A1"/>
    <w:rsid w:val="00AD730B"/>
    <w:rsid w:val="00AD78FB"/>
    <w:rsid w:val="00AE12F0"/>
    <w:rsid w:val="00AE274A"/>
    <w:rsid w:val="00AE29E7"/>
    <w:rsid w:val="00AE3300"/>
    <w:rsid w:val="00AE3486"/>
    <w:rsid w:val="00AE35A3"/>
    <w:rsid w:val="00AE3821"/>
    <w:rsid w:val="00AE4242"/>
    <w:rsid w:val="00AE4646"/>
    <w:rsid w:val="00AE54FD"/>
    <w:rsid w:val="00AE6488"/>
    <w:rsid w:val="00AE73A1"/>
    <w:rsid w:val="00AE7AC0"/>
    <w:rsid w:val="00AF09D7"/>
    <w:rsid w:val="00AF255E"/>
    <w:rsid w:val="00AF27E4"/>
    <w:rsid w:val="00AF37AA"/>
    <w:rsid w:val="00AF3C7A"/>
    <w:rsid w:val="00AF3F78"/>
    <w:rsid w:val="00AF6D1B"/>
    <w:rsid w:val="00AF7AD0"/>
    <w:rsid w:val="00AF7C5E"/>
    <w:rsid w:val="00B00700"/>
    <w:rsid w:val="00B00AF9"/>
    <w:rsid w:val="00B01442"/>
    <w:rsid w:val="00B023F2"/>
    <w:rsid w:val="00B027A1"/>
    <w:rsid w:val="00B02D97"/>
    <w:rsid w:val="00B03E2D"/>
    <w:rsid w:val="00B042FC"/>
    <w:rsid w:val="00B0529D"/>
    <w:rsid w:val="00B053FE"/>
    <w:rsid w:val="00B0565B"/>
    <w:rsid w:val="00B05EBD"/>
    <w:rsid w:val="00B06D74"/>
    <w:rsid w:val="00B0710C"/>
    <w:rsid w:val="00B07334"/>
    <w:rsid w:val="00B07359"/>
    <w:rsid w:val="00B10ED8"/>
    <w:rsid w:val="00B119D8"/>
    <w:rsid w:val="00B135A5"/>
    <w:rsid w:val="00B1391A"/>
    <w:rsid w:val="00B15AE6"/>
    <w:rsid w:val="00B16006"/>
    <w:rsid w:val="00B17FD7"/>
    <w:rsid w:val="00B20477"/>
    <w:rsid w:val="00B23F65"/>
    <w:rsid w:val="00B24378"/>
    <w:rsid w:val="00B243CE"/>
    <w:rsid w:val="00B24B7B"/>
    <w:rsid w:val="00B25012"/>
    <w:rsid w:val="00B2540D"/>
    <w:rsid w:val="00B25EC1"/>
    <w:rsid w:val="00B26645"/>
    <w:rsid w:val="00B266E0"/>
    <w:rsid w:val="00B31604"/>
    <w:rsid w:val="00B31E63"/>
    <w:rsid w:val="00B3218B"/>
    <w:rsid w:val="00B3305F"/>
    <w:rsid w:val="00B347F8"/>
    <w:rsid w:val="00B350B2"/>
    <w:rsid w:val="00B35E74"/>
    <w:rsid w:val="00B368DD"/>
    <w:rsid w:val="00B36A55"/>
    <w:rsid w:val="00B374A0"/>
    <w:rsid w:val="00B377B4"/>
    <w:rsid w:val="00B37EA4"/>
    <w:rsid w:val="00B400E4"/>
    <w:rsid w:val="00B4023E"/>
    <w:rsid w:val="00B409B2"/>
    <w:rsid w:val="00B412BD"/>
    <w:rsid w:val="00B41822"/>
    <w:rsid w:val="00B42951"/>
    <w:rsid w:val="00B42CA9"/>
    <w:rsid w:val="00B42DEF"/>
    <w:rsid w:val="00B42F0B"/>
    <w:rsid w:val="00B43AFB"/>
    <w:rsid w:val="00B44F52"/>
    <w:rsid w:val="00B45BD8"/>
    <w:rsid w:val="00B46218"/>
    <w:rsid w:val="00B471F6"/>
    <w:rsid w:val="00B47409"/>
    <w:rsid w:val="00B4760A"/>
    <w:rsid w:val="00B50BA7"/>
    <w:rsid w:val="00B5199C"/>
    <w:rsid w:val="00B525BC"/>
    <w:rsid w:val="00B5269A"/>
    <w:rsid w:val="00B52BB4"/>
    <w:rsid w:val="00B52C40"/>
    <w:rsid w:val="00B5316D"/>
    <w:rsid w:val="00B549CF"/>
    <w:rsid w:val="00B550E2"/>
    <w:rsid w:val="00B56108"/>
    <w:rsid w:val="00B60AFC"/>
    <w:rsid w:val="00B62292"/>
    <w:rsid w:val="00B6345E"/>
    <w:rsid w:val="00B63B83"/>
    <w:rsid w:val="00B65785"/>
    <w:rsid w:val="00B66111"/>
    <w:rsid w:val="00B66188"/>
    <w:rsid w:val="00B6663B"/>
    <w:rsid w:val="00B668DC"/>
    <w:rsid w:val="00B66965"/>
    <w:rsid w:val="00B67151"/>
    <w:rsid w:val="00B67E9C"/>
    <w:rsid w:val="00B70F8F"/>
    <w:rsid w:val="00B71454"/>
    <w:rsid w:val="00B715F1"/>
    <w:rsid w:val="00B72A53"/>
    <w:rsid w:val="00B7473B"/>
    <w:rsid w:val="00B763D5"/>
    <w:rsid w:val="00B76CBF"/>
    <w:rsid w:val="00B76E59"/>
    <w:rsid w:val="00B7748C"/>
    <w:rsid w:val="00B77B33"/>
    <w:rsid w:val="00B77D8C"/>
    <w:rsid w:val="00B80705"/>
    <w:rsid w:val="00B80C0D"/>
    <w:rsid w:val="00B8174E"/>
    <w:rsid w:val="00B81DF0"/>
    <w:rsid w:val="00B81F0A"/>
    <w:rsid w:val="00B820FB"/>
    <w:rsid w:val="00B825FB"/>
    <w:rsid w:val="00B82CE7"/>
    <w:rsid w:val="00B84642"/>
    <w:rsid w:val="00B86372"/>
    <w:rsid w:val="00B87FE6"/>
    <w:rsid w:val="00B906EF"/>
    <w:rsid w:val="00B90746"/>
    <w:rsid w:val="00B90953"/>
    <w:rsid w:val="00B921A7"/>
    <w:rsid w:val="00B936AF"/>
    <w:rsid w:val="00B93B6F"/>
    <w:rsid w:val="00B9430B"/>
    <w:rsid w:val="00B96484"/>
    <w:rsid w:val="00BA01ED"/>
    <w:rsid w:val="00BA0B21"/>
    <w:rsid w:val="00BA13CA"/>
    <w:rsid w:val="00BA25BE"/>
    <w:rsid w:val="00BA47FA"/>
    <w:rsid w:val="00BA4E1C"/>
    <w:rsid w:val="00BA5045"/>
    <w:rsid w:val="00BA5147"/>
    <w:rsid w:val="00BA55F4"/>
    <w:rsid w:val="00BA5816"/>
    <w:rsid w:val="00BA603D"/>
    <w:rsid w:val="00BA7DF1"/>
    <w:rsid w:val="00BA7F19"/>
    <w:rsid w:val="00BB1A9D"/>
    <w:rsid w:val="00BB1F02"/>
    <w:rsid w:val="00BB30D5"/>
    <w:rsid w:val="00BB3266"/>
    <w:rsid w:val="00BB38F0"/>
    <w:rsid w:val="00BB3E6E"/>
    <w:rsid w:val="00BB46BB"/>
    <w:rsid w:val="00BB4E36"/>
    <w:rsid w:val="00BB6867"/>
    <w:rsid w:val="00BB6C35"/>
    <w:rsid w:val="00BB70A7"/>
    <w:rsid w:val="00BB7DA4"/>
    <w:rsid w:val="00BC169C"/>
    <w:rsid w:val="00BC2432"/>
    <w:rsid w:val="00BC268A"/>
    <w:rsid w:val="00BC3061"/>
    <w:rsid w:val="00BC390E"/>
    <w:rsid w:val="00BC3DF8"/>
    <w:rsid w:val="00BC65C5"/>
    <w:rsid w:val="00BD029E"/>
    <w:rsid w:val="00BD06BD"/>
    <w:rsid w:val="00BD0A3C"/>
    <w:rsid w:val="00BD1C3B"/>
    <w:rsid w:val="00BD2258"/>
    <w:rsid w:val="00BD2785"/>
    <w:rsid w:val="00BD3C51"/>
    <w:rsid w:val="00BD451F"/>
    <w:rsid w:val="00BD5142"/>
    <w:rsid w:val="00BD5668"/>
    <w:rsid w:val="00BD56E3"/>
    <w:rsid w:val="00BD6A4F"/>
    <w:rsid w:val="00BD6CCB"/>
    <w:rsid w:val="00BD7DD4"/>
    <w:rsid w:val="00BE07B5"/>
    <w:rsid w:val="00BE0958"/>
    <w:rsid w:val="00BE0E6C"/>
    <w:rsid w:val="00BE1CB9"/>
    <w:rsid w:val="00BE260F"/>
    <w:rsid w:val="00BE2F30"/>
    <w:rsid w:val="00BE30AC"/>
    <w:rsid w:val="00BE3BD1"/>
    <w:rsid w:val="00BE3F95"/>
    <w:rsid w:val="00BE409B"/>
    <w:rsid w:val="00BE421E"/>
    <w:rsid w:val="00BE455B"/>
    <w:rsid w:val="00BE4DB9"/>
    <w:rsid w:val="00BE599F"/>
    <w:rsid w:val="00BE6A5F"/>
    <w:rsid w:val="00BF00A1"/>
    <w:rsid w:val="00BF115C"/>
    <w:rsid w:val="00BF1CC7"/>
    <w:rsid w:val="00BF1D5F"/>
    <w:rsid w:val="00BF1FA7"/>
    <w:rsid w:val="00BF2DD9"/>
    <w:rsid w:val="00BF36CA"/>
    <w:rsid w:val="00BF4D49"/>
    <w:rsid w:val="00BF584A"/>
    <w:rsid w:val="00BF6C96"/>
    <w:rsid w:val="00BF73CC"/>
    <w:rsid w:val="00BF78D0"/>
    <w:rsid w:val="00BF78E9"/>
    <w:rsid w:val="00C007EF"/>
    <w:rsid w:val="00C017F7"/>
    <w:rsid w:val="00C01CCD"/>
    <w:rsid w:val="00C038A6"/>
    <w:rsid w:val="00C04284"/>
    <w:rsid w:val="00C0450F"/>
    <w:rsid w:val="00C049D0"/>
    <w:rsid w:val="00C04AA7"/>
    <w:rsid w:val="00C04F04"/>
    <w:rsid w:val="00C0781D"/>
    <w:rsid w:val="00C10509"/>
    <w:rsid w:val="00C1095F"/>
    <w:rsid w:val="00C117BA"/>
    <w:rsid w:val="00C12CFE"/>
    <w:rsid w:val="00C131A7"/>
    <w:rsid w:val="00C13EC8"/>
    <w:rsid w:val="00C14AE0"/>
    <w:rsid w:val="00C14CFF"/>
    <w:rsid w:val="00C160F9"/>
    <w:rsid w:val="00C16468"/>
    <w:rsid w:val="00C16625"/>
    <w:rsid w:val="00C16A23"/>
    <w:rsid w:val="00C16D83"/>
    <w:rsid w:val="00C16E5D"/>
    <w:rsid w:val="00C2009E"/>
    <w:rsid w:val="00C214AB"/>
    <w:rsid w:val="00C21712"/>
    <w:rsid w:val="00C22981"/>
    <w:rsid w:val="00C23E4F"/>
    <w:rsid w:val="00C24617"/>
    <w:rsid w:val="00C247BE"/>
    <w:rsid w:val="00C24E33"/>
    <w:rsid w:val="00C25AF3"/>
    <w:rsid w:val="00C25D80"/>
    <w:rsid w:val="00C27314"/>
    <w:rsid w:val="00C278DB"/>
    <w:rsid w:val="00C27B73"/>
    <w:rsid w:val="00C27E66"/>
    <w:rsid w:val="00C27F00"/>
    <w:rsid w:val="00C30DD9"/>
    <w:rsid w:val="00C31BF2"/>
    <w:rsid w:val="00C329D8"/>
    <w:rsid w:val="00C335C8"/>
    <w:rsid w:val="00C3376C"/>
    <w:rsid w:val="00C34421"/>
    <w:rsid w:val="00C35759"/>
    <w:rsid w:val="00C36AB1"/>
    <w:rsid w:val="00C36C62"/>
    <w:rsid w:val="00C36C72"/>
    <w:rsid w:val="00C400FB"/>
    <w:rsid w:val="00C409A4"/>
    <w:rsid w:val="00C40F73"/>
    <w:rsid w:val="00C4114E"/>
    <w:rsid w:val="00C415A6"/>
    <w:rsid w:val="00C416B8"/>
    <w:rsid w:val="00C417CA"/>
    <w:rsid w:val="00C41B62"/>
    <w:rsid w:val="00C41EF9"/>
    <w:rsid w:val="00C42164"/>
    <w:rsid w:val="00C42A5C"/>
    <w:rsid w:val="00C42C18"/>
    <w:rsid w:val="00C42DC6"/>
    <w:rsid w:val="00C43A34"/>
    <w:rsid w:val="00C4495C"/>
    <w:rsid w:val="00C44A03"/>
    <w:rsid w:val="00C45BFE"/>
    <w:rsid w:val="00C46648"/>
    <w:rsid w:val="00C46735"/>
    <w:rsid w:val="00C4708F"/>
    <w:rsid w:val="00C470F9"/>
    <w:rsid w:val="00C47ACE"/>
    <w:rsid w:val="00C503F4"/>
    <w:rsid w:val="00C5137C"/>
    <w:rsid w:val="00C51D9A"/>
    <w:rsid w:val="00C52B20"/>
    <w:rsid w:val="00C52C46"/>
    <w:rsid w:val="00C53D50"/>
    <w:rsid w:val="00C53DB5"/>
    <w:rsid w:val="00C5424B"/>
    <w:rsid w:val="00C54EB9"/>
    <w:rsid w:val="00C55507"/>
    <w:rsid w:val="00C56901"/>
    <w:rsid w:val="00C571B1"/>
    <w:rsid w:val="00C62784"/>
    <w:rsid w:val="00C638EF"/>
    <w:rsid w:val="00C646CB"/>
    <w:rsid w:val="00C647A7"/>
    <w:rsid w:val="00C6483B"/>
    <w:rsid w:val="00C64CBA"/>
    <w:rsid w:val="00C65988"/>
    <w:rsid w:val="00C65BDB"/>
    <w:rsid w:val="00C65CEC"/>
    <w:rsid w:val="00C6746C"/>
    <w:rsid w:val="00C67DEB"/>
    <w:rsid w:val="00C70212"/>
    <w:rsid w:val="00C7048B"/>
    <w:rsid w:val="00C706EC"/>
    <w:rsid w:val="00C71869"/>
    <w:rsid w:val="00C71D2C"/>
    <w:rsid w:val="00C720C8"/>
    <w:rsid w:val="00C72FAC"/>
    <w:rsid w:val="00C7395C"/>
    <w:rsid w:val="00C739BB"/>
    <w:rsid w:val="00C74307"/>
    <w:rsid w:val="00C74D26"/>
    <w:rsid w:val="00C7643B"/>
    <w:rsid w:val="00C76762"/>
    <w:rsid w:val="00C7733D"/>
    <w:rsid w:val="00C7739D"/>
    <w:rsid w:val="00C80BF4"/>
    <w:rsid w:val="00C818DE"/>
    <w:rsid w:val="00C82704"/>
    <w:rsid w:val="00C8490E"/>
    <w:rsid w:val="00C85F32"/>
    <w:rsid w:val="00C85F90"/>
    <w:rsid w:val="00C8605D"/>
    <w:rsid w:val="00C86C2F"/>
    <w:rsid w:val="00C875C6"/>
    <w:rsid w:val="00C877B8"/>
    <w:rsid w:val="00C879FA"/>
    <w:rsid w:val="00C87C04"/>
    <w:rsid w:val="00C87C87"/>
    <w:rsid w:val="00C9078D"/>
    <w:rsid w:val="00C90E6E"/>
    <w:rsid w:val="00C918EF"/>
    <w:rsid w:val="00C91C86"/>
    <w:rsid w:val="00C92B78"/>
    <w:rsid w:val="00C92DE7"/>
    <w:rsid w:val="00C92F84"/>
    <w:rsid w:val="00C945D7"/>
    <w:rsid w:val="00C9608B"/>
    <w:rsid w:val="00C961C6"/>
    <w:rsid w:val="00C96559"/>
    <w:rsid w:val="00C96777"/>
    <w:rsid w:val="00C96E96"/>
    <w:rsid w:val="00C9767B"/>
    <w:rsid w:val="00C977CF"/>
    <w:rsid w:val="00CA2C59"/>
    <w:rsid w:val="00CA2ECE"/>
    <w:rsid w:val="00CA3D02"/>
    <w:rsid w:val="00CA4E8B"/>
    <w:rsid w:val="00CA4EC6"/>
    <w:rsid w:val="00CA567B"/>
    <w:rsid w:val="00CA5851"/>
    <w:rsid w:val="00CA5B4F"/>
    <w:rsid w:val="00CA5BA8"/>
    <w:rsid w:val="00CA5C97"/>
    <w:rsid w:val="00CA6049"/>
    <w:rsid w:val="00CA6B83"/>
    <w:rsid w:val="00CA6D89"/>
    <w:rsid w:val="00CA7C0E"/>
    <w:rsid w:val="00CA7CE3"/>
    <w:rsid w:val="00CA7E0F"/>
    <w:rsid w:val="00CB0CCD"/>
    <w:rsid w:val="00CB1B05"/>
    <w:rsid w:val="00CB268B"/>
    <w:rsid w:val="00CB34CC"/>
    <w:rsid w:val="00CB47F6"/>
    <w:rsid w:val="00CB4953"/>
    <w:rsid w:val="00CB4A8C"/>
    <w:rsid w:val="00CB5263"/>
    <w:rsid w:val="00CB571E"/>
    <w:rsid w:val="00CB5E11"/>
    <w:rsid w:val="00CB60D0"/>
    <w:rsid w:val="00CB65A0"/>
    <w:rsid w:val="00CB6F49"/>
    <w:rsid w:val="00CB753D"/>
    <w:rsid w:val="00CB799C"/>
    <w:rsid w:val="00CB7C50"/>
    <w:rsid w:val="00CC007F"/>
    <w:rsid w:val="00CC00C0"/>
    <w:rsid w:val="00CC15ED"/>
    <w:rsid w:val="00CC21A0"/>
    <w:rsid w:val="00CC2597"/>
    <w:rsid w:val="00CC2AF7"/>
    <w:rsid w:val="00CC3C6B"/>
    <w:rsid w:val="00CC4D88"/>
    <w:rsid w:val="00CC5018"/>
    <w:rsid w:val="00CC5162"/>
    <w:rsid w:val="00CC5186"/>
    <w:rsid w:val="00CC5D21"/>
    <w:rsid w:val="00CC62F7"/>
    <w:rsid w:val="00CC6561"/>
    <w:rsid w:val="00CC6D3C"/>
    <w:rsid w:val="00CC714F"/>
    <w:rsid w:val="00CD08B2"/>
    <w:rsid w:val="00CD118A"/>
    <w:rsid w:val="00CD1199"/>
    <w:rsid w:val="00CD1E3D"/>
    <w:rsid w:val="00CD2AF7"/>
    <w:rsid w:val="00CD33F3"/>
    <w:rsid w:val="00CD37A2"/>
    <w:rsid w:val="00CD3997"/>
    <w:rsid w:val="00CD4462"/>
    <w:rsid w:val="00CD475E"/>
    <w:rsid w:val="00CD4CB9"/>
    <w:rsid w:val="00CD554B"/>
    <w:rsid w:val="00CD5D43"/>
    <w:rsid w:val="00CD5F24"/>
    <w:rsid w:val="00CD68EF"/>
    <w:rsid w:val="00CE05F4"/>
    <w:rsid w:val="00CE346F"/>
    <w:rsid w:val="00CE37EB"/>
    <w:rsid w:val="00CE4683"/>
    <w:rsid w:val="00CE55AA"/>
    <w:rsid w:val="00CE6C6B"/>
    <w:rsid w:val="00CE6D5E"/>
    <w:rsid w:val="00CE6E1E"/>
    <w:rsid w:val="00CF037B"/>
    <w:rsid w:val="00CF058F"/>
    <w:rsid w:val="00CF0630"/>
    <w:rsid w:val="00CF0D79"/>
    <w:rsid w:val="00CF0D88"/>
    <w:rsid w:val="00CF1E57"/>
    <w:rsid w:val="00CF24D4"/>
    <w:rsid w:val="00CF24E1"/>
    <w:rsid w:val="00CF394E"/>
    <w:rsid w:val="00CF51D7"/>
    <w:rsid w:val="00CF5E4B"/>
    <w:rsid w:val="00CF664E"/>
    <w:rsid w:val="00CF7D0D"/>
    <w:rsid w:val="00D002B1"/>
    <w:rsid w:val="00D01CED"/>
    <w:rsid w:val="00D05010"/>
    <w:rsid w:val="00D05CB4"/>
    <w:rsid w:val="00D05D55"/>
    <w:rsid w:val="00D06981"/>
    <w:rsid w:val="00D069E3"/>
    <w:rsid w:val="00D073BB"/>
    <w:rsid w:val="00D075E5"/>
    <w:rsid w:val="00D07727"/>
    <w:rsid w:val="00D07B83"/>
    <w:rsid w:val="00D07C72"/>
    <w:rsid w:val="00D10B26"/>
    <w:rsid w:val="00D10E92"/>
    <w:rsid w:val="00D116E3"/>
    <w:rsid w:val="00D12428"/>
    <w:rsid w:val="00D1407C"/>
    <w:rsid w:val="00D14804"/>
    <w:rsid w:val="00D14A49"/>
    <w:rsid w:val="00D1573E"/>
    <w:rsid w:val="00D172DC"/>
    <w:rsid w:val="00D17AE3"/>
    <w:rsid w:val="00D2013D"/>
    <w:rsid w:val="00D2065B"/>
    <w:rsid w:val="00D219E4"/>
    <w:rsid w:val="00D220B8"/>
    <w:rsid w:val="00D23E33"/>
    <w:rsid w:val="00D243EE"/>
    <w:rsid w:val="00D248D6"/>
    <w:rsid w:val="00D255A2"/>
    <w:rsid w:val="00D2572C"/>
    <w:rsid w:val="00D257E8"/>
    <w:rsid w:val="00D25A57"/>
    <w:rsid w:val="00D25DD8"/>
    <w:rsid w:val="00D31BE3"/>
    <w:rsid w:val="00D3279D"/>
    <w:rsid w:val="00D32D9A"/>
    <w:rsid w:val="00D33066"/>
    <w:rsid w:val="00D338C5"/>
    <w:rsid w:val="00D33CB5"/>
    <w:rsid w:val="00D34357"/>
    <w:rsid w:val="00D36F3C"/>
    <w:rsid w:val="00D376D1"/>
    <w:rsid w:val="00D40E81"/>
    <w:rsid w:val="00D40EB3"/>
    <w:rsid w:val="00D40F1D"/>
    <w:rsid w:val="00D42238"/>
    <w:rsid w:val="00D438F4"/>
    <w:rsid w:val="00D44173"/>
    <w:rsid w:val="00D44751"/>
    <w:rsid w:val="00D4570E"/>
    <w:rsid w:val="00D4670E"/>
    <w:rsid w:val="00D47E4A"/>
    <w:rsid w:val="00D47E6A"/>
    <w:rsid w:val="00D50978"/>
    <w:rsid w:val="00D52828"/>
    <w:rsid w:val="00D53737"/>
    <w:rsid w:val="00D53C0C"/>
    <w:rsid w:val="00D5473E"/>
    <w:rsid w:val="00D55354"/>
    <w:rsid w:val="00D554CF"/>
    <w:rsid w:val="00D562FD"/>
    <w:rsid w:val="00D56B09"/>
    <w:rsid w:val="00D56C24"/>
    <w:rsid w:val="00D56D32"/>
    <w:rsid w:val="00D608A5"/>
    <w:rsid w:val="00D60CC2"/>
    <w:rsid w:val="00D61D87"/>
    <w:rsid w:val="00D6273B"/>
    <w:rsid w:val="00D63451"/>
    <w:rsid w:val="00D636AF"/>
    <w:rsid w:val="00D63AC8"/>
    <w:rsid w:val="00D63ECB"/>
    <w:rsid w:val="00D64A15"/>
    <w:rsid w:val="00D64F77"/>
    <w:rsid w:val="00D6594F"/>
    <w:rsid w:val="00D65B0A"/>
    <w:rsid w:val="00D66330"/>
    <w:rsid w:val="00D663D3"/>
    <w:rsid w:val="00D666BA"/>
    <w:rsid w:val="00D67FA2"/>
    <w:rsid w:val="00D705D6"/>
    <w:rsid w:val="00D7069D"/>
    <w:rsid w:val="00D70995"/>
    <w:rsid w:val="00D70C87"/>
    <w:rsid w:val="00D70DEE"/>
    <w:rsid w:val="00D71867"/>
    <w:rsid w:val="00D731B1"/>
    <w:rsid w:val="00D73F64"/>
    <w:rsid w:val="00D740EF"/>
    <w:rsid w:val="00D746B3"/>
    <w:rsid w:val="00D74E69"/>
    <w:rsid w:val="00D75012"/>
    <w:rsid w:val="00D757CD"/>
    <w:rsid w:val="00D75E74"/>
    <w:rsid w:val="00D76428"/>
    <w:rsid w:val="00D764EE"/>
    <w:rsid w:val="00D76D6A"/>
    <w:rsid w:val="00D77884"/>
    <w:rsid w:val="00D77A6B"/>
    <w:rsid w:val="00D8075E"/>
    <w:rsid w:val="00D812B3"/>
    <w:rsid w:val="00D8159E"/>
    <w:rsid w:val="00D81B6B"/>
    <w:rsid w:val="00D81E6D"/>
    <w:rsid w:val="00D820FB"/>
    <w:rsid w:val="00D821CC"/>
    <w:rsid w:val="00D82B7C"/>
    <w:rsid w:val="00D83A37"/>
    <w:rsid w:val="00D8474B"/>
    <w:rsid w:val="00D861C7"/>
    <w:rsid w:val="00D86460"/>
    <w:rsid w:val="00D8651E"/>
    <w:rsid w:val="00D86958"/>
    <w:rsid w:val="00D876DE"/>
    <w:rsid w:val="00D879FD"/>
    <w:rsid w:val="00D87FD6"/>
    <w:rsid w:val="00D87FF2"/>
    <w:rsid w:val="00D90E4A"/>
    <w:rsid w:val="00D917D6"/>
    <w:rsid w:val="00D91962"/>
    <w:rsid w:val="00D928A9"/>
    <w:rsid w:val="00D928BA"/>
    <w:rsid w:val="00D9353C"/>
    <w:rsid w:val="00D93837"/>
    <w:rsid w:val="00D93FA0"/>
    <w:rsid w:val="00D9431E"/>
    <w:rsid w:val="00D95454"/>
    <w:rsid w:val="00D9625A"/>
    <w:rsid w:val="00D96285"/>
    <w:rsid w:val="00D96716"/>
    <w:rsid w:val="00D97772"/>
    <w:rsid w:val="00D977FE"/>
    <w:rsid w:val="00DA02F4"/>
    <w:rsid w:val="00DA175C"/>
    <w:rsid w:val="00DA1F67"/>
    <w:rsid w:val="00DA21A2"/>
    <w:rsid w:val="00DA3FA2"/>
    <w:rsid w:val="00DA4788"/>
    <w:rsid w:val="00DA47BD"/>
    <w:rsid w:val="00DA47C9"/>
    <w:rsid w:val="00DA5CC6"/>
    <w:rsid w:val="00DA6F70"/>
    <w:rsid w:val="00DA7097"/>
    <w:rsid w:val="00DA70A6"/>
    <w:rsid w:val="00DA7301"/>
    <w:rsid w:val="00DA7330"/>
    <w:rsid w:val="00DB0C93"/>
    <w:rsid w:val="00DB0DF8"/>
    <w:rsid w:val="00DB1669"/>
    <w:rsid w:val="00DB2D7B"/>
    <w:rsid w:val="00DB2EB5"/>
    <w:rsid w:val="00DB38D0"/>
    <w:rsid w:val="00DB4634"/>
    <w:rsid w:val="00DB47DB"/>
    <w:rsid w:val="00DB560C"/>
    <w:rsid w:val="00DB62C8"/>
    <w:rsid w:val="00DB72F5"/>
    <w:rsid w:val="00DB73B4"/>
    <w:rsid w:val="00DB74DA"/>
    <w:rsid w:val="00DB7C3A"/>
    <w:rsid w:val="00DC012D"/>
    <w:rsid w:val="00DC18E0"/>
    <w:rsid w:val="00DC3D48"/>
    <w:rsid w:val="00DC49A7"/>
    <w:rsid w:val="00DC5ACB"/>
    <w:rsid w:val="00DC6594"/>
    <w:rsid w:val="00DD0658"/>
    <w:rsid w:val="00DD0F1D"/>
    <w:rsid w:val="00DD2007"/>
    <w:rsid w:val="00DD2054"/>
    <w:rsid w:val="00DD3F69"/>
    <w:rsid w:val="00DD4477"/>
    <w:rsid w:val="00DD4541"/>
    <w:rsid w:val="00DD5510"/>
    <w:rsid w:val="00DD5572"/>
    <w:rsid w:val="00DD6884"/>
    <w:rsid w:val="00DD726E"/>
    <w:rsid w:val="00DD7CF1"/>
    <w:rsid w:val="00DD7ECF"/>
    <w:rsid w:val="00DE0ECE"/>
    <w:rsid w:val="00DE108E"/>
    <w:rsid w:val="00DE385D"/>
    <w:rsid w:val="00DE50CC"/>
    <w:rsid w:val="00DE5548"/>
    <w:rsid w:val="00DE635D"/>
    <w:rsid w:val="00DE665A"/>
    <w:rsid w:val="00DE7238"/>
    <w:rsid w:val="00DE7C93"/>
    <w:rsid w:val="00DE7F10"/>
    <w:rsid w:val="00DF095F"/>
    <w:rsid w:val="00DF16D7"/>
    <w:rsid w:val="00DF252E"/>
    <w:rsid w:val="00DF2E33"/>
    <w:rsid w:val="00DF3527"/>
    <w:rsid w:val="00DF3DEB"/>
    <w:rsid w:val="00DF64AE"/>
    <w:rsid w:val="00DF7AF2"/>
    <w:rsid w:val="00E00926"/>
    <w:rsid w:val="00E01223"/>
    <w:rsid w:val="00E0131B"/>
    <w:rsid w:val="00E01F19"/>
    <w:rsid w:val="00E02634"/>
    <w:rsid w:val="00E02BE1"/>
    <w:rsid w:val="00E02FAB"/>
    <w:rsid w:val="00E03A11"/>
    <w:rsid w:val="00E0417B"/>
    <w:rsid w:val="00E063D5"/>
    <w:rsid w:val="00E06D3A"/>
    <w:rsid w:val="00E078B3"/>
    <w:rsid w:val="00E1010F"/>
    <w:rsid w:val="00E108E2"/>
    <w:rsid w:val="00E1176C"/>
    <w:rsid w:val="00E12279"/>
    <w:rsid w:val="00E12777"/>
    <w:rsid w:val="00E13180"/>
    <w:rsid w:val="00E13352"/>
    <w:rsid w:val="00E1337E"/>
    <w:rsid w:val="00E13F2A"/>
    <w:rsid w:val="00E1437F"/>
    <w:rsid w:val="00E164D6"/>
    <w:rsid w:val="00E1660D"/>
    <w:rsid w:val="00E17476"/>
    <w:rsid w:val="00E205D1"/>
    <w:rsid w:val="00E21D62"/>
    <w:rsid w:val="00E22A99"/>
    <w:rsid w:val="00E22C08"/>
    <w:rsid w:val="00E23C65"/>
    <w:rsid w:val="00E24026"/>
    <w:rsid w:val="00E2692F"/>
    <w:rsid w:val="00E269EC"/>
    <w:rsid w:val="00E2704F"/>
    <w:rsid w:val="00E27D9F"/>
    <w:rsid w:val="00E30139"/>
    <w:rsid w:val="00E304C9"/>
    <w:rsid w:val="00E30B81"/>
    <w:rsid w:val="00E317FE"/>
    <w:rsid w:val="00E31A3C"/>
    <w:rsid w:val="00E31AD7"/>
    <w:rsid w:val="00E31B3B"/>
    <w:rsid w:val="00E32D57"/>
    <w:rsid w:val="00E32D81"/>
    <w:rsid w:val="00E32DFF"/>
    <w:rsid w:val="00E3364C"/>
    <w:rsid w:val="00E338A6"/>
    <w:rsid w:val="00E3400C"/>
    <w:rsid w:val="00E34EFC"/>
    <w:rsid w:val="00E3643F"/>
    <w:rsid w:val="00E36999"/>
    <w:rsid w:val="00E36DE1"/>
    <w:rsid w:val="00E37AEA"/>
    <w:rsid w:val="00E40E8D"/>
    <w:rsid w:val="00E41260"/>
    <w:rsid w:val="00E414AC"/>
    <w:rsid w:val="00E41740"/>
    <w:rsid w:val="00E4284A"/>
    <w:rsid w:val="00E43525"/>
    <w:rsid w:val="00E439DA"/>
    <w:rsid w:val="00E44202"/>
    <w:rsid w:val="00E443BE"/>
    <w:rsid w:val="00E4481B"/>
    <w:rsid w:val="00E44AF8"/>
    <w:rsid w:val="00E44BB3"/>
    <w:rsid w:val="00E44C9B"/>
    <w:rsid w:val="00E44F68"/>
    <w:rsid w:val="00E4621F"/>
    <w:rsid w:val="00E46288"/>
    <w:rsid w:val="00E46CB5"/>
    <w:rsid w:val="00E46DC4"/>
    <w:rsid w:val="00E4706E"/>
    <w:rsid w:val="00E472D7"/>
    <w:rsid w:val="00E513C2"/>
    <w:rsid w:val="00E518E5"/>
    <w:rsid w:val="00E52225"/>
    <w:rsid w:val="00E53145"/>
    <w:rsid w:val="00E536C4"/>
    <w:rsid w:val="00E537AF"/>
    <w:rsid w:val="00E54457"/>
    <w:rsid w:val="00E54B77"/>
    <w:rsid w:val="00E5602A"/>
    <w:rsid w:val="00E57269"/>
    <w:rsid w:val="00E57351"/>
    <w:rsid w:val="00E60013"/>
    <w:rsid w:val="00E607C4"/>
    <w:rsid w:val="00E61427"/>
    <w:rsid w:val="00E619D2"/>
    <w:rsid w:val="00E626F5"/>
    <w:rsid w:val="00E6273C"/>
    <w:rsid w:val="00E62B27"/>
    <w:rsid w:val="00E62B5B"/>
    <w:rsid w:val="00E62D0B"/>
    <w:rsid w:val="00E631AE"/>
    <w:rsid w:val="00E64C57"/>
    <w:rsid w:val="00E65046"/>
    <w:rsid w:val="00E65408"/>
    <w:rsid w:val="00E65AD4"/>
    <w:rsid w:val="00E678D3"/>
    <w:rsid w:val="00E67B83"/>
    <w:rsid w:val="00E7062E"/>
    <w:rsid w:val="00E70EC7"/>
    <w:rsid w:val="00E71173"/>
    <w:rsid w:val="00E71B8F"/>
    <w:rsid w:val="00E722F4"/>
    <w:rsid w:val="00E736E6"/>
    <w:rsid w:val="00E7392D"/>
    <w:rsid w:val="00E74E31"/>
    <w:rsid w:val="00E7505C"/>
    <w:rsid w:val="00E753C0"/>
    <w:rsid w:val="00E75F1A"/>
    <w:rsid w:val="00E7619B"/>
    <w:rsid w:val="00E76D24"/>
    <w:rsid w:val="00E76ED1"/>
    <w:rsid w:val="00E7750C"/>
    <w:rsid w:val="00E775C7"/>
    <w:rsid w:val="00E8118B"/>
    <w:rsid w:val="00E8172D"/>
    <w:rsid w:val="00E823F0"/>
    <w:rsid w:val="00E848F2"/>
    <w:rsid w:val="00E87010"/>
    <w:rsid w:val="00E875AC"/>
    <w:rsid w:val="00E8797A"/>
    <w:rsid w:val="00E87AE8"/>
    <w:rsid w:val="00E902DB"/>
    <w:rsid w:val="00E902EC"/>
    <w:rsid w:val="00E90827"/>
    <w:rsid w:val="00E90DB5"/>
    <w:rsid w:val="00E91FC1"/>
    <w:rsid w:val="00E9368A"/>
    <w:rsid w:val="00E939D2"/>
    <w:rsid w:val="00E94B14"/>
    <w:rsid w:val="00E94B7A"/>
    <w:rsid w:val="00E95C45"/>
    <w:rsid w:val="00E96B7B"/>
    <w:rsid w:val="00E97353"/>
    <w:rsid w:val="00EA061B"/>
    <w:rsid w:val="00EA0934"/>
    <w:rsid w:val="00EA0C65"/>
    <w:rsid w:val="00EA1112"/>
    <w:rsid w:val="00EA1B53"/>
    <w:rsid w:val="00EA2B27"/>
    <w:rsid w:val="00EA2D0C"/>
    <w:rsid w:val="00EA4E9F"/>
    <w:rsid w:val="00EA72CD"/>
    <w:rsid w:val="00EA7682"/>
    <w:rsid w:val="00EA7C1C"/>
    <w:rsid w:val="00EB0636"/>
    <w:rsid w:val="00EB0842"/>
    <w:rsid w:val="00EB0DA8"/>
    <w:rsid w:val="00EB11C2"/>
    <w:rsid w:val="00EB14B8"/>
    <w:rsid w:val="00EB1D9A"/>
    <w:rsid w:val="00EB2CD4"/>
    <w:rsid w:val="00EB321F"/>
    <w:rsid w:val="00EB33AF"/>
    <w:rsid w:val="00EB354D"/>
    <w:rsid w:val="00EB45C9"/>
    <w:rsid w:val="00EB4B77"/>
    <w:rsid w:val="00EB6212"/>
    <w:rsid w:val="00EB7490"/>
    <w:rsid w:val="00EB7640"/>
    <w:rsid w:val="00EB79D2"/>
    <w:rsid w:val="00EB7B66"/>
    <w:rsid w:val="00EC00C7"/>
    <w:rsid w:val="00EC0235"/>
    <w:rsid w:val="00EC1491"/>
    <w:rsid w:val="00EC1AED"/>
    <w:rsid w:val="00EC1E57"/>
    <w:rsid w:val="00EC1FDF"/>
    <w:rsid w:val="00EC2E28"/>
    <w:rsid w:val="00EC316C"/>
    <w:rsid w:val="00EC3C59"/>
    <w:rsid w:val="00EC4B1C"/>
    <w:rsid w:val="00EC4E11"/>
    <w:rsid w:val="00EC5317"/>
    <w:rsid w:val="00EC5D2C"/>
    <w:rsid w:val="00EC6396"/>
    <w:rsid w:val="00EC6A81"/>
    <w:rsid w:val="00EC7131"/>
    <w:rsid w:val="00EC735A"/>
    <w:rsid w:val="00EC74AD"/>
    <w:rsid w:val="00EC7D3A"/>
    <w:rsid w:val="00ED0017"/>
    <w:rsid w:val="00ED0153"/>
    <w:rsid w:val="00ED09C2"/>
    <w:rsid w:val="00ED0EE7"/>
    <w:rsid w:val="00ED1BF0"/>
    <w:rsid w:val="00ED30D0"/>
    <w:rsid w:val="00ED48F8"/>
    <w:rsid w:val="00ED4962"/>
    <w:rsid w:val="00ED52CD"/>
    <w:rsid w:val="00ED5355"/>
    <w:rsid w:val="00ED5C48"/>
    <w:rsid w:val="00ED6109"/>
    <w:rsid w:val="00ED6232"/>
    <w:rsid w:val="00ED6D70"/>
    <w:rsid w:val="00EE0D69"/>
    <w:rsid w:val="00EE157F"/>
    <w:rsid w:val="00EE32D4"/>
    <w:rsid w:val="00EE5935"/>
    <w:rsid w:val="00EE5CD7"/>
    <w:rsid w:val="00EE60BD"/>
    <w:rsid w:val="00EE612F"/>
    <w:rsid w:val="00EE63E1"/>
    <w:rsid w:val="00EE6424"/>
    <w:rsid w:val="00EE67A8"/>
    <w:rsid w:val="00EE7274"/>
    <w:rsid w:val="00EE72E8"/>
    <w:rsid w:val="00EE76C7"/>
    <w:rsid w:val="00EF016D"/>
    <w:rsid w:val="00EF1347"/>
    <w:rsid w:val="00EF2903"/>
    <w:rsid w:val="00EF2E2A"/>
    <w:rsid w:val="00EF2F5F"/>
    <w:rsid w:val="00EF32DB"/>
    <w:rsid w:val="00EF36B5"/>
    <w:rsid w:val="00EF3BCA"/>
    <w:rsid w:val="00EF47AA"/>
    <w:rsid w:val="00EF4BC5"/>
    <w:rsid w:val="00EF5D03"/>
    <w:rsid w:val="00EF65CF"/>
    <w:rsid w:val="00EF6736"/>
    <w:rsid w:val="00EF6BE7"/>
    <w:rsid w:val="00EF6C20"/>
    <w:rsid w:val="00EF6E9A"/>
    <w:rsid w:val="00EF6F2B"/>
    <w:rsid w:val="00EF72F8"/>
    <w:rsid w:val="00EF766F"/>
    <w:rsid w:val="00EF7935"/>
    <w:rsid w:val="00F001FA"/>
    <w:rsid w:val="00F002C1"/>
    <w:rsid w:val="00F01213"/>
    <w:rsid w:val="00F01413"/>
    <w:rsid w:val="00F0205C"/>
    <w:rsid w:val="00F02A0A"/>
    <w:rsid w:val="00F03F68"/>
    <w:rsid w:val="00F04933"/>
    <w:rsid w:val="00F05EA5"/>
    <w:rsid w:val="00F06A26"/>
    <w:rsid w:val="00F06BAA"/>
    <w:rsid w:val="00F07D9C"/>
    <w:rsid w:val="00F07DAD"/>
    <w:rsid w:val="00F1043B"/>
    <w:rsid w:val="00F1078E"/>
    <w:rsid w:val="00F11F97"/>
    <w:rsid w:val="00F12413"/>
    <w:rsid w:val="00F12554"/>
    <w:rsid w:val="00F12920"/>
    <w:rsid w:val="00F12DAD"/>
    <w:rsid w:val="00F12E77"/>
    <w:rsid w:val="00F136BA"/>
    <w:rsid w:val="00F13740"/>
    <w:rsid w:val="00F164AE"/>
    <w:rsid w:val="00F1677C"/>
    <w:rsid w:val="00F16FC2"/>
    <w:rsid w:val="00F1758A"/>
    <w:rsid w:val="00F17860"/>
    <w:rsid w:val="00F17CC3"/>
    <w:rsid w:val="00F2041E"/>
    <w:rsid w:val="00F2092F"/>
    <w:rsid w:val="00F224ED"/>
    <w:rsid w:val="00F225CC"/>
    <w:rsid w:val="00F22E9D"/>
    <w:rsid w:val="00F22FBB"/>
    <w:rsid w:val="00F24BCC"/>
    <w:rsid w:val="00F24E75"/>
    <w:rsid w:val="00F24EBF"/>
    <w:rsid w:val="00F25773"/>
    <w:rsid w:val="00F26170"/>
    <w:rsid w:val="00F30415"/>
    <w:rsid w:val="00F3249C"/>
    <w:rsid w:val="00F3251C"/>
    <w:rsid w:val="00F32CB0"/>
    <w:rsid w:val="00F33082"/>
    <w:rsid w:val="00F33340"/>
    <w:rsid w:val="00F333D3"/>
    <w:rsid w:val="00F3455B"/>
    <w:rsid w:val="00F35061"/>
    <w:rsid w:val="00F351B7"/>
    <w:rsid w:val="00F35A17"/>
    <w:rsid w:val="00F365AB"/>
    <w:rsid w:val="00F374CC"/>
    <w:rsid w:val="00F37AC1"/>
    <w:rsid w:val="00F40362"/>
    <w:rsid w:val="00F4060C"/>
    <w:rsid w:val="00F40B66"/>
    <w:rsid w:val="00F427C3"/>
    <w:rsid w:val="00F42852"/>
    <w:rsid w:val="00F433CA"/>
    <w:rsid w:val="00F43B7F"/>
    <w:rsid w:val="00F443AB"/>
    <w:rsid w:val="00F453DA"/>
    <w:rsid w:val="00F4579B"/>
    <w:rsid w:val="00F47570"/>
    <w:rsid w:val="00F503A3"/>
    <w:rsid w:val="00F50EF7"/>
    <w:rsid w:val="00F51850"/>
    <w:rsid w:val="00F51B17"/>
    <w:rsid w:val="00F52693"/>
    <w:rsid w:val="00F528A7"/>
    <w:rsid w:val="00F551DA"/>
    <w:rsid w:val="00F557CB"/>
    <w:rsid w:val="00F5614E"/>
    <w:rsid w:val="00F572BE"/>
    <w:rsid w:val="00F5743F"/>
    <w:rsid w:val="00F61536"/>
    <w:rsid w:val="00F6197A"/>
    <w:rsid w:val="00F61F3F"/>
    <w:rsid w:val="00F62778"/>
    <w:rsid w:val="00F62DA0"/>
    <w:rsid w:val="00F6474F"/>
    <w:rsid w:val="00F65097"/>
    <w:rsid w:val="00F6551D"/>
    <w:rsid w:val="00F666F8"/>
    <w:rsid w:val="00F67141"/>
    <w:rsid w:val="00F675DB"/>
    <w:rsid w:val="00F7035A"/>
    <w:rsid w:val="00F70627"/>
    <w:rsid w:val="00F716F3"/>
    <w:rsid w:val="00F7171B"/>
    <w:rsid w:val="00F71A37"/>
    <w:rsid w:val="00F71ADA"/>
    <w:rsid w:val="00F72357"/>
    <w:rsid w:val="00F72377"/>
    <w:rsid w:val="00F72A7A"/>
    <w:rsid w:val="00F73191"/>
    <w:rsid w:val="00F734CC"/>
    <w:rsid w:val="00F73AB5"/>
    <w:rsid w:val="00F74959"/>
    <w:rsid w:val="00F74C01"/>
    <w:rsid w:val="00F74D22"/>
    <w:rsid w:val="00F75275"/>
    <w:rsid w:val="00F75EC5"/>
    <w:rsid w:val="00F76E9A"/>
    <w:rsid w:val="00F779BE"/>
    <w:rsid w:val="00F807A9"/>
    <w:rsid w:val="00F80EEA"/>
    <w:rsid w:val="00F81151"/>
    <w:rsid w:val="00F8267C"/>
    <w:rsid w:val="00F829C2"/>
    <w:rsid w:val="00F829F4"/>
    <w:rsid w:val="00F83132"/>
    <w:rsid w:val="00F84982"/>
    <w:rsid w:val="00F84A25"/>
    <w:rsid w:val="00F85672"/>
    <w:rsid w:val="00F8569E"/>
    <w:rsid w:val="00F85AD4"/>
    <w:rsid w:val="00F85F71"/>
    <w:rsid w:val="00F86C78"/>
    <w:rsid w:val="00F879E8"/>
    <w:rsid w:val="00F87B02"/>
    <w:rsid w:val="00F87B43"/>
    <w:rsid w:val="00F904CF"/>
    <w:rsid w:val="00F90B56"/>
    <w:rsid w:val="00F90BD3"/>
    <w:rsid w:val="00F913DF"/>
    <w:rsid w:val="00F922FF"/>
    <w:rsid w:val="00F948B9"/>
    <w:rsid w:val="00F949FD"/>
    <w:rsid w:val="00F95087"/>
    <w:rsid w:val="00F951EA"/>
    <w:rsid w:val="00F956F3"/>
    <w:rsid w:val="00F9622D"/>
    <w:rsid w:val="00F963B1"/>
    <w:rsid w:val="00F970E3"/>
    <w:rsid w:val="00F9776F"/>
    <w:rsid w:val="00FA10D3"/>
    <w:rsid w:val="00FA1E9E"/>
    <w:rsid w:val="00FA3025"/>
    <w:rsid w:val="00FA36BA"/>
    <w:rsid w:val="00FA37E4"/>
    <w:rsid w:val="00FA445A"/>
    <w:rsid w:val="00FA5471"/>
    <w:rsid w:val="00FA5EE4"/>
    <w:rsid w:val="00FA669B"/>
    <w:rsid w:val="00FA77D7"/>
    <w:rsid w:val="00FA7826"/>
    <w:rsid w:val="00FA7939"/>
    <w:rsid w:val="00FB0749"/>
    <w:rsid w:val="00FB1EC9"/>
    <w:rsid w:val="00FB2051"/>
    <w:rsid w:val="00FB26A0"/>
    <w:rsid w:val="00FB2F03"/>
    <w:rsid w:val="00FB31A8"/>
    <w:rsid w:val="00FB4E5A"/>
    <w:rsid w:val="00FB51D5"/>
    <w:rsid w:val="00FB5788"/>
    <w:rsid w:val="00FB5AA6"/>
    <w:rsid w:val="00FB681F"/>
    <w:rsid w:val="00FB6B11"/>
    <w:rsid w:val="00FB70B3"/>
    <w:rsid w:val="00FB7512"/>
    <w:rsid w:val="00FC024F"/>
    <w:rsid w:val="00FC0619"/>
    <w:rsid w:val="00FC1636"/>
    <w:rsid w:val="00FC1C1D"/>
    <w:rsid w:val="00FC1C77"/>
    <w:rsid w:val="00FC35F2"/>
    <w:rsid w:val="00FC3B78"/>
    <w:rsid w:val="00FC3F9E"/>
    <w:rsid w:val="00FC44DC"/>
    <w:rsid w:val="00FC515D"/>
    <w:rsid w:val="00FC5BB4"/>
    <w:rsid w:val="00FC65AD"/>
    <w:rsid w:val="00FC682F"/>
    <w:rsid w:val="00FC6A3E"/>
    <w:rsid w:val="00FC6A59"/>
    <w:rsid w:val="00FC6B6D"/>
    <w:rsid w:val="00FC6F00"/>
    <w:rsid w:val="00FC73A2"/>
    <w:rsid w:val="00FC7D98"/>
    <w:rsid w:val="00FD03A8"/>
    <w:rsid w:val="00FD1058"/>
    <w:rsid w:val="00FD1198"/>
    <w:rsid w:val="00FD179A"/>
    <w:rsid w:val="00FD1BB5"/>
    <w:rsid w:val="00FD2B2E"/>
    <w:rsid w:val="00FD2D4F"/>
    <w:rsid w:val="00FD2D65"/>
    <w:rsid w:val="00FD343C"/>
    <w:rsid w:val="00FD3BAC"/>
    <w:rsid w:val="00FD5761"/>
    <w:rsid w:val="00FD61AD"/>
    <w:rsid w:val="00FD681F"/>
    <w:rsid w:val="00FD68A9"/>
    <w:rsid w:val="00FD69DE"/>
    <w:rsid w:val="00FD7034"/>
    <w:rsid w:val="00FD73E9"/>
    <w:rsid w:val="00FE09D6"/>
    <w:rsid w:val="00FE0E0B"/>
    <w:rsid w:val="00FE13CF"/>
    <w:rsid w:val="00FE14E8"/>
    <w:rsid w:val="00FE1932"/>
    <w:rsid w:val="00FE226F"/>
    <w:rsid w:val="00FE28D7"/>
    <w:rsid w:val="00FE3E9D"/>
    <w:rsid w:val="00FE44F3"/>
    <w:rsid w:val="00FE495D"/>
    <w:rsid w:val="00FE5701"/>
    <w:rsid w:val="00FE5DBC"/>
    <w:rsid w:val="00FE614C"/>
    <w:rsid w:val="00FF0D7A"/>
    <w:rsid w:val="00FF12D2"/>
    <w:rsid w:val="00FF249E"/>
    <w:rsid w:val="00FF25AD"/>
    <w:rsid w:val="00FF552E"/>
    <w:rsid w:val="00FF7525"/>
    <w:rsid w:val="0240705F"/>
    <w:rsid w:val="04467DD6"/>
    <w:rsid w:val="06C34A5B"/>
    <w:rsid w:val="07EB026F"/>
    <w:rsid w:val="16785658"/>
    <w:rsid w:val="1A6DB936"/>
    <w:rsid w:val="1B36B3C4"/>
    <w:rsid w:val="1DCB03DC"/>
    <w:rsid w:val="1DDA531D"/>
    <w:rsid w:val="1F795544"/>
    <w:rsid w:val="2008CB80"/>
    <w:rsid w:val="213B16B1"/>
    <w:rsid w:val="24353F6D"/>
    <w:rsid w:val="24FA44E9"/>
    <w:rsid w:val="257AF3EE"/>
    <w:rsid w:val="26809D11"/>
    <w:rsid w:val="29D0A1BD"/>
    <w:rsid w:val="2CB29301"/>
    <w:rsid w:val="2D6D57DE"/>
    <w:rsid w:val="2D73E4AF"/>
    <w:rsid w:val="2E2F2722"/>
    <w:rsid w:val="2F40CF2C"/>
    <w:rsid w:val="3106F829"/>
    <w:rsid w:val="322D954A"/>
    <w:rsid w:val="32CF0756"/>
    <w:rsid w:val="34EA4E24"/>
    <w:rsid w:val="38860EE6"/>
    <w:rsid w:val="39668B97"/>
    <w:rsid w:val="39B70C9C"/>
    <w:rsid w:val="3AD43BC4"/>
    <w:rsid w:val="3EEF6B43"/>
    <w:rsid w:val="3F53FBCF"/>
    <w:rsid w:val="4167BFBA"/>
    <w:rsid w:val="45CE2200"/>
    <w:rsid w:val="4A2F073A"/>
    <w:rsid w:val="4AC18BE9"/>
    <w:rsid w:val="54414BFB"/>
    <w:rsid w:val="55A73B66"/>
    <w:rsid w:val="57CD51FA"/>
    <w:rsid w:val="5DA1EF55"/>
    <w:rsid w:val="63B75FAB"/>
    <w:rsid w:val="6B60F196"/>
    <w:rsid w:val="6CE0FFF0"/>
    <w:rsid w:val="6DE7C356"/>
    <w:rsid w:val="6F680A05"/>
    <w:rsid w:val="74137758"/>
    <w:rsid w:val="74B61C84"/>
    <w:rsid w:val="74F3B8A1"/>
    <w:rsid w:val="75D08E9D"/>
    <w:rsid w:val="77B8E095"/>
    <w:rsid w:val="7C052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86A5"/>
  <w15:docId w15:val="{C567866A-700E-45BC-BC3E-70235423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68DD"/>
    <w:pPr>
      <w:spacing w:after="200" w:line="276" w:lineRule="auto"/>
    </w:pPr>
  </w:style>
  <w:style w:type="paragraph" w:styleId="Nadpis1">
    <w:name w:val="heading 1"/>
    <w:basedOn w:val="Normln"/>
    <w:next w:val="Normln"/>
    <w:link w:val="Nadpis1Char"/>
    <w:uiPriority w:val="99"/>
    <w:qFormat/>
    <w:rsid w:val="004D66A7"/>
    <w:pPr>
      <w:keepNext/>
      <w:keepLines/>
      <w:spacing w:before="240" w:after="0"/>
      <w:outlineLvl w:val="0"/>
    </w:pPr>
    <w:rPr>
      <w:rFonts w:ascii="Calibri Light" w:eastAsia="Times New Roman" w:hAnsi="Calibri Light" w:cs="Times New Roman"/>
      <w:color w:val="2E74B5"/>
      <w:sz w:val="32"/>
      <w:szCs w:val="32"/>
    </w:rPr>
  </w:style>
  <w:style w:type="paragraph" w:styleId="Nadpis2">
    <w:name w:val="heading 2"/>
    <w:basedOn w:val="Normln"/>
    <w:next w:val="Normln"/>
    <w:link w:val="Nadpis2Char"/>
    <w:uiPriority w:val="99"/>
    <w:qFormat/>
    <w:rsid w:val="009C3E71"/>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Nadpis3">
    <w:name w:val="heading 3"/>
    <w:basedOn w:val="Normln"/>
    <w:next w:val="Normln"/>
    <w:link w:val="Nadpis3Char"/>
    <w:uiPriority w:val="99"/>
    <w:qFormat/>
    <w:rsid w:val="0071258B"/>
    <w:pPr>
      <w:keepNext/>
      <w:keepLines/>
      <w:spacing w:before="40" w:after="0"/>
      <w:outlineLvl w:val="2"/>
    </w:pPr>
    <w:rPr>
      <w:rFonts w:ascii="Calibri Light" w:eastAsia="Times New Roman" w:hAnsi="Calibri Light" w:cs="Times New Roman"/>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D66A7"/>
    <w:rPr>
      <w:rFonts w:ascii="Calibri Light" w:eastAsia="Times New Roman" w:hAnsi="Calibri Light" w:cs="Times New Roman"/>
      <w:color w:val="2E74B5"/>
      <w:sz w:val="32"/>
      <w:szCs w:val="32"/>
    </w:rPr>
  </w:style>
  <w:style w:type="character" w:customStyle="1" w:styleId="Nadpis2Char">
    <w:name w:val="Nadpis 2 Char"/>
    <w:basedOn w:val="Standardnpsmoodstavce"/>
    <w:link w:val="Nadpis2"/>
    <w:uiPriority w:val="99"/>
    <w:rsid w:val="009C3E71"/>
    <w:rPr>
      <w:rFonts w:ascii="Calibri Light" w:eastAsia="Times New Roman" w:hAnsi="Calibri Light" w:cs="Times New Roman"/>
      <w:color w:val="2E74B5"/>
      <w:sz w:val="26"/>
      <w:szCs w:val="26"/>
    </w:rPr>
  </w:style>
  <w:style w:type="character" w:customStyle="1" w:styleId="OdstavecseseznamemChar">
    <w:name w:val="Odstavec se seznamem Char"/>
    <w:aliases w:val="Conclusion de partie Char,Odstavec_muj Char,Nad Char,List Paragraph (Czech Tourism) Char,A-Odrážky1 Char,_Odstavec se seznamem Char,Odstavec_muj1 Char,Odstavec_muj2 Char,Odstavec_muj3 Char,Nad1 Char,List Paragraph1 Char,2 Char"/>
    <w:link w:val="Odstavecseseznamem"/>
    <w:uiPriority w:val="34"/>
    <w:qFormat/>
    <w:locked/>
    <w:rsid w:val="009C3E71"/>
    <w:rPr>
      <w:rFonts w:ascii="Calibri" w:eastAsia="Calibri" w:hAnsi="Calibri" w:cs="Times New Roman"/>
      <w:sz w:val="20"/>
      <w:szCs w:val="20"/>
      <w:lang w:eastAsia="ar-SA"/>
    </w:rPr>
  </w:style>
  <w:style w:type="paragraph" w:styleId="Odstavecseseznamem">
    <w:name w:val="List Paragraph"/>
    <w:aliases w:val="Conclusion de partie,Odstavec_muj,Nad,List Paragraph (Czech Tourism),A-Odrážky1,_Odstavec se seznamem,Odstavec_muj1,Odstavec_muj2,Odstavec_muj3,Nad1,List Paragraph1,Odstavec_muj4,Nad2,List Paragraph2,Odstavec_muj5,List Paragraph,2"/>
    <w:basedOn w:val="Normln"/>
    <w:link w:val="OdstavecseseznamemChar"/>
    <w:uiPriority w:val="34"/>
    <w:qFormat/>
    <w:rsid w:val="009C3E71"/>
    <w:pPr>
      <w:suppressAutoHyphens/>
      <w:spacing w:after="160" w:line="256" w:lineRule="auto"/>
      <w:ind w:left="720"/>
    </w:pPr>
    <w:rPr>
      <w:rFonts w:ascii="Calibri" w:eastAsia="Calibri" w:hAnsi="Calibri" w:cs="Times New Roman"/>
      <w:sz w:val="20"/>
      <w:szCs w:val="20"/>
      <w:lang w:eastAsia="ar-SA"/>
    </w:rPr>
  </w:style>
  <w:style w:type="paragraph" w:styleId="Zhlav">
    <w:name w:val="header"/>
    <w:basedOn w:val="Normln"/>
    <w:link w:val="ZhlavChar"/>
    <w:uiPriority w:val="99"/>
    <w:rsid w:val="003D131F"/>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3D131F"/>
    <w:rPr>
      <w:rFonts w:ascii="Calibri" w:eastAsia="Calibri" w:hAnsi="Calibri" w:cs="Times New Roman"/>
    </w:rPr>
  </w:style>
  <w:style w:type="paragraph" w:styleId="Zpat">
    <w:name w:val="footer"/>
    <w:basedOn w:val="Normln"/>
    <w:link w:val="ZpatChar"/>
    <w:uiPriority w:val="99"/>
    <w:rsid w:val="003D131F"/>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3D131F"/>
    <w:rPr>
      <w:rFonts w:ascii="Calibri" w:eastAsia="Calibri" w:hAnsi="Calibri" w:cs="Times New Roman"/>
    </w:rPr>
  </w:style>
  <w:style w:type="paragraph" w:customStyle="1" w:styleId="Default">
    <w:name w:val="Default"/>
    <w:rsid w:val="003D131F"/>
    <w:pPr>
      <w:autoSpaceDE w:val="0"/>
      <w:autoSpaceDN w:val="0"/>
      <w:adjustRightInd w:val="0"/>
      <w:spacing w:after="0" w:line="240" w:lineRule="auto"/>
    </w:pPr>
    <w:rPr>
      <w:rFonts w:ascii="Arial" w:eastAsia="Calibri" w:hAnsi="Arial" w:cs="Arial"/>
      <w:color w:val="000000"/>
      <w:sz w:val="24"/>
      <w:szCs w:val="24"/>
    </w:rPr>
  </w:style>
  <w:style w:type="character" w:customStyle="1" w:styleId="Nadpis3Char">
    <w:name w:val="Nadpis 3 Char"/>
    <w:basedOn w:val="Standardnpsmoodstavce"/>
    <w:link w:val="Nadpis3"/>
    <w:uiPriority w:val="99"/>
    <w:rsid w:val="0071258B"/>
    <w:rPr>
      <w:rFonts w:ascii="Calibri Light" w:eastAsia="Times New Roman" w:hAnsi="Calibri Light" w:cs="Times New Roman"/>
      <w:color w:val="1F4D78"/>
      <w:sz w:val="24"/>
      <w:szCs w:val="24"/>
    </w:rPr>
  </w:style>
  <w:style w:type="character" w:styleId="Odkaznakoment">
    <w:name w:val="annotation reference"/>
    <w:basedOn w:val="Standardnpsmoodstavce"/>
    <w:uiPriority w:val="99"/>
    <w:semiHidden/>
    <w:rsid w:val="00F13740"/>
    <w:rPr>
      <w:rFonts w:cs="Times New Roman"/>
      <w:sz w:val="16"/>
      <w:szCs w:val="16"/>
    </w:rPr>
  </w:style>
  <w:style w:type="paragraph" w:styleId="Textkomente">
    <w:name w:val="annotation text"/>
    <w:basedOn w:val="Normln"/>
    <w:link w:val="TextkomenteChar"/>
    <w:uiPriority w:val="99"/>
    <w:rsid w:val="00F13740"/>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F13740"/>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rsid w:val="00F13740"/>
    <w:rPr>
      <w:b/>
      <w:bCs/>
    </w:rPr>
  </w:style>
  <w:style w:type="character" w:customStyle="1" w:styleId="PedmtkomenteChar">
    <w:name w:val="Předmět komentáře Char"/>
    <w:basedOn w:val="TextkomenteChar"/>
    <w:link w:val="Pedmtkomente"/>
    <w:uiPriority w:val="99"/>
    <w:semiHidden/>
    <w:rsid w:val="00F13740"/>
    <w:rPr>
      <w:rFonts w:ascii="Calibri" w:eastAsia="Calibri" w:hAnsi="Calibri" w:cs="Times New Roman"/>
      <w:b/>
      <w:bCs/>
      <w:sz w:val="20"/>
      <w:szCs w:val="20"/>
    </w:rPr>
  </w:style>
  <w:style w:type="paragraph" w:styleId="Textbubliny">
    <w:name w:val="Balloon Text"/>
    <w:basedOn w:val="Normln"/>
    <w:link w:val="TextbublinyChar"/>
    <w:uiPriority w:val="99"/>
    <w:semiHidden/>
    <w:rsid w:val="00F13740"/>
    <w:pPr>
      <w:spacing w:after="0" w:line="240" w:lineRule="auto"/>
    </w:pPr>
    <w:rPr>
      <w:rFonts w:ascii="Segoe UI" w:eastAsia="Calibri" w:hAnsi="Segoe UI" w:cs="Segoe UI"/>
      <w:sz w:val="18"/>
      <w:szCs w:val="18"/>
    </w:rPr>
  </w:style>
  <w:style w:type="character" w:customStyle="1" w:styleId="TextbublinyChar">
    <w:name w:val="Text bubliny Char"/>
    <w:basedOn w:val="Standardnpsmoodstavce"/>
    <w:link w:val="Textbubliny"/>
    <w:uiPriority w:val="99"/>
    <w:semiHidden/>
    <w:rsid w:val="00F13740"/>
    <w:rPr>
      <w:rFonts w:ascii="Segoe UI" w:eastAsia="Calibri" w:hAnsi="Segoe UI" w:cs="Segoe UI"/>
      <w:sz w:val="18"/>
      <w:szCs w:val="18"/>
    </w:rPr>
  </w:style>
  <w:style w:type="paragraph" w:styleId="Bezmezer">
    <w:name w:val="No Spacing"/>
    <w:link w:val="BezmezerChar"/>
    <w:uiPriority w:val="99"/>
    <w:qFormat/>
    <w:rsid w:val="00C818DE"/>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rsid w:val="00C818DE"/>
    <w:rPr>
      <w:rFonts w:ascii="Calibri" w:eastAsia="Calibri" w:hAnsi="Calibri" w:cs="Times New Roman"/>
    </w:rPr>
  </w:style>
  <w:style w:type="character" w:styleId="Hypertextovodkaz">
    <w:name w:val="Hyperlink"/>
    <w:basedOn w:val="Standardnpsmoodstavce"/>
    <w:uiPriority w:val="99"/>
    <w:rsid w:val="00570297"/>
    <w:rPr>
      <w:rFonts w:cs="Times New Roman"/>
      <w:color w:val="064094"/>
      <w:u w:val="none"/>
    </w:rPr>
  </w:style>
  <w:style w:type="paragraph" w:styleId="Nadpisobsahu">
    <w:name w:val="TOC Heading"/>
    <w:basedOn w:val="Nadpis1"/>
    <w:next w:val="Normln"/>
    <w:uiPriority w:val="99"/>
    <w:qFormat/>
    <w:rsid w:val="00570297"/>
    <w:pPr>
      <w:spacing w:after="480" w:line="259" w:lineRule="auto"/>
      <w:outlineLvl w:val="9"/>
    </w:pPr>
    <w:rPr>
      <w:lang w:eastAsia="cs-CZ"/>
    </w:rPr>
  </w:style>
  <w:style w:type="paragraph" w:styleId="Obsah1">
    <w:name w:val="toc 1"/>
    <w:basedOn w:val="Normln"/>
    <w:next w:val="Normln"/>
    <w:autoRedefine/>
    <w:uiPriority w:val="39"/>
    <w:rsid w:val="00551A32"/>
    <w:pPr>
      <w:tabs>
        <w:tab w:val="right" w:leader="dot" w:pos="9060"/>
      </w:tabs>
      <w:spacing w:after="100"/>
    </w:pPr>
    <w:rPr>
      <w:rFonts w:ascii="Calibri" w:eastAsia="Calibri" w:hAnsi="Calibri" w:cs="Times New Roman"/>
    </w:rPr>
  </w:style>
  <w:style w:type="paragraph" w:styleId="Obsah2">
    <w:name w:val="toc 2"/>
    <w:basedOn w:val="Normln"/>
    <w:next w:val="Normln"/>
    <w:autoRedefine/>
    <w:uiPriority w:val="39"/>
    <w:rsid w:val="00570297"/>
    <w:pPr>
      <w:spacing w:after="100"/>
      <w:ind w:left="220"/>
    </w:pPr>
    <w:rPr>
      <w:rFonts w:ascii="Calibri" w:eastAsia="Calibri" w:hAnsi="Calibri" w:cs="Times New Roman"/>
    </w:rPr>
  </w:style>
  <w:style w:type="character" w:styleId="Odkaznavysvtlivky">
    <w:name w:val="endnote reference"/>
    <w:basedOn w:val="Standardnpsmoodstavce"/>
    <w:uiPriority w:val="99"/>
    <w:qFormat/>
    <w:rsid w:val="00570297"/>
    <w:rPr>
      <w:rFonts w:cs="Times New Roman"/>
      <w:vertAlign w:val="superscript"/>
    </w:rPr>
  </w:style>
  <w:style w:type="paragraph" w:styleId="Textvysvtlivek">
    <w:name w:val="endnote text"/>
    <w:basedOn w:val="Normln"/>
    <w:link w:val="TextvysvtlivekChar"/>
    <w:uiPriority w:val="99"/>
    <w:qFormat/>
    <w:rsid w:val="00570297"/>
    <w:pPr>
      <w:spacing w:after="0" w:line="240" w:lineRule="auto"/>
      <w:jc w:val="both"/>
    </w:pPr>
    <w:rPr>
      <w:rFonts w:ascii="Calibri Light" w:eastAsia="Calibri" w:hAnsi="Calibri Light" w:cs="Times New Roman"/>
      <w:color w:val="0D0D0D"/>
      <w:szCs w:val="20"/>
    </w:rPr>
  </w:style>
  <w:style w:type="character" w:customStyle="1" w:styleId="TextvysvtlivekChar">
    <w:name w:val="Text vysvětlivek Char"/>
    <w:basedOn w:val="Standardnpsmoodstavce"/>
    <w:link w:val="Textvysvtlivek"/>
    <w:uiPriority w:val="99"/>
    <w:qFormat/>
    <w:rsid w:val="00570297"/>
    <w:rPr>
      <w:rFonts w:ascii="Calibri Light" w:eastAsia="Calibri" w:hAnsi="Calibri Light" w:cs="Times New Roman"/>
      <w:color w:val="0D0D0D"/>
      <w:szCs w:val="20"/>
    </w:rPr>
  </w:style>
  <w:style w:type="table" w:styleId="Mkatabulky">
    <w:name w:val="Table Grid"/>
    <w:basedOn w:val="Normlntabulka"/>
    <w:uiPriority w:val="39"/>
    <w:unhideWhenUsed/>
    <w:rsid w:val="005D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owb">
    <w:name w:val="atowb"/>
    <w:basedOn w:val="Standardnpsmoodstavce"/>
    <w:uiPriority w:val="99"/>
    <w:rsid w:val="003F42CB"/>
  </w:style>
  <w:style w:type="paragraph" w:styleId="Revize">
    <w:name w:val="Revision"/>
    <w:hidden/>
    <w:uiPriority w:val="99"/>
    <w:semiHidden/>
    <w:rsid w:val="00832BB6"/>
    <w:pPr>
      <w:spacing w:after="0" w:line="240" w:lineRule="auto"/>
    </w:pPr>
    <w:rPr>
      <w:rFonts w:ascii="Calibri" w:eastAsia="Calibri" w:hAnsi="Calibri" w:cs="Times New Roman"/>
    </w:rPr>
  </w:style>
  <w:style w:type="character" w:styleId="Siln">
    <w:name w:val="Strong"/>
    <w:basedOn w:val="Standardnpsmoodstavce"/>
    <w:uiPriority w:val="99"/>
    <w:qFormat/>
    <w:rsid w:val="006044CF"/>
    <w:rPr>
      <w:b/>
      <w:bCs/>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fn"/>
    <w:basedOn w:val="Normln"/>
    <w:link w:val="TextpoznpodarouChar"/>
    <w:uiPriority w:val="99"/>
    <w:qFormat/>
    <w:rsid w:val="00A363EF"/>
    <w:pPr>
      <w:spacing w:after="0" w:line="240" w:lineRule="auto"/>
    </w:pPr>
    <w:rPr>
      <w:rFonts w:ascii="Calibri" w:eastAsia="Calibri" w:hAnsi="Calibri" w:cs="Times New Roman"/>
      <w:sz w:val="20"/>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qFormat/>
    <w:rsid w:val="00A363EF"/>
    <w:rPr>
      <w:rFonts w:ascii="Calibri" w:eastAsia="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link w:val="4GChar"/>
    <w:uiPriority w:val="99"/>
    <w:qFormat/>
    <w:rsid w:val="00A363EF"/>
    <w:rPr>
      <w:rFonts w:cs="Times New Roman"/>
      <w:vertAlign w:val="superscript"/>
    </w:rPr>
  </w:style>
  <w:style w:type="paragraph" w:styleId="Normlnweb">
    <w:name w:val="Normal (Web)"/>
    <w:basedOn w:val="Normln"/>
    <w:uiPriority w:val="99"/>
    <w:rsid w:val="00EE157F"/>
    <w:pPr>
      <w:spacing w:before="100" w:beforeAutospacing="1" w:after="100" w:afterAutospacing="1" w:line="240" w:lineRule="auto"/>
    </w:pPr>
    <w:rPr>
      <w:rFonts w:ascii="Calibri" w:eastAsia="Calibri" w:hAnsi="Calibri" w:cs="Calibri"/>
      <w:lang w:eastAsia="cs-CZ"/>
    </w:rPr>
  </w:style>
  <w:style w:type="character" w:customStyle="1" w:styleId="jlqj4b">
    <w:name w:val="jlqj4b"/>
    <w:basedOn w:val="Standardnpsmoodstavce"/>
    <w:uiPriority w:val="99"/>
    <w:rsid w:val="00B52BB4"/>
  </w:style>
  <w:style w:type="paragraph" w:customStyle="1" w:styleId="Intro">
    <w:name w:val="Intro"/>
    <w:basedOn w:val="Normln"/>
    <w:uiPriority w:val="99"/>
    <w:rsid w:val="002E5ECD"/>
    <w:pPr>
      <w:spacing w:after="120" w:line="264" w:lineRule="auto"/>
      <w:jc w:val="both"/>
    </w:pPr>
    <w:rPr>
      <w:rFonts w:ascii="Calibri Light" w:eastAsia="Calibri" w:hAnsi="Calibri Light" w:cs="Times New Roman"/>
      <w:color w:val="262626"/>
    </w:rPr>
  </w:style>
  <w:style w:type="paragraph" w:customStyle="1" w:styleId="xmsonormal">
    <w:name w:val="x_msonormal"/>
    <w:basedOn w:val="Normln"/>
    <w:uiPriority w:val="99"/>
    <w:semiHidden/>
    <w:rsid w:val="00AE6488"/>
    <w:pPr>
      <w:spacing w:after="0" w:line="240" w:lineRule="auto"/>
    </w:pPr>
    <w:rPr>
      <w:rFonts w:ascii="Calibri" w:eastAsia="Calibri" w:hAnsi="Calibri" w:cs="Calibri"/>
      <w:lang w:eastAsia="cs-CZ"/>
    </w:rPr>
  </w:style>
  <w:style w:type="character" w:customStyle="1" w:styleId="q4iawc">
    <w:name w:val="q4iawc"/>
    <w:basedOn w:val="Standardnpsmoodstavce"/>
    <w:rsid w:val="005054AC"/>
  </w:style>
  <w:style w:type="character" w:customStyle="1" w:styleId="apple-converted-space">
    <w:name w:val="apple-converted-space"/>
    <w:basedOn w:val="Standardnpsmoodstavce"/>
    <w:rsid w:val="003E4A25"/>
  </w:style>
  <w:style w:type="character" w:styleId="Zdraznn">
    <w:name w:val="Emphasis"/>
    <w:basedOn w:val="Standardnpsmoodstavce"/>
    <w:uiPriority w:val="20"/>
    <w:qFormat/>
    <w:rsid w:val="003E4A25"/>
    <w:rPr>
      <w:i/>
      <w:iCs/>
    </w:rPr>
  </w:style>
  <w:style w:type="character" w:styleId="Nevyeenzmnka">
    <w:name w:val="Unresolved Mention"/>
    <w:basedOn w:val="Standardnpsmoodstavce"/>
    <w:uiPriority w:val="99"/>
    <w:semiHidden/>
    <w:unhideWhenUsed/>
    <w:rsid w:val="00923CD6"/>
    <w:rPr>
      <w:color w:val="605E5C"/>
      <w:shd w:val="clear" w:color="auto" w:fill="E1DFDD"/>
    </w:rPr>
  </w:style>
  <w:style w:type="character" w:styleId="Sledovanodkaz">
    <w:name w:val="FollowedHyperlink"/>
    <w:basedOn w:val="Standardnpsmoodstavce"/>
    <w:uiPriority w:val="99"/>
    <w:semiHidden/>
    <w:unhideWhenUsed/>
    <w:rsid w:val="000229B1"/>
    <w:rPr>
      <w:color w:val="954F72" w:themeColor="followedHyperlink"/>
      <w:u w:val="single"/>
    </w:rPr>
  </w:style>
  <w:style w:type="paragraph" w:styleId="Citt">
    <w:name w:val="Quote"/>
    <w:basedOn w:val="Normln"/>
    <w:next w:val="Normln"/>
    <w:link w:val="CittChar"/>
    <w:uiPriority w:val="99"/>
    <w:qFormat/>
    <w:rsid w:val="004F529E"/>
    <w:pPr>
      <w:spacing w:before="240" w:after="240" w:line="240" w:lineRule="auto"/>
      <w:jc w:val="both"/>
    </w:pPr>
    <w:rPr>
      <w:rFonts w:ascii="Calibri Light" w:eastAsia="Times New Roman" w:hAnsi="Calibri Light" w:cs="Times New Roman"/>
      <w:iCs/>
      <w:color w:val="44546A" w:themeColor="text2"/>
      <w:sz w:val="26"/>
      <w:szCs w:val="20"/>
      <w:lang w:eastAsia="cs-CZ"/>
    </w:rPr>
  </w:style>
  <w:style w:type="character" w:customStyle="1" w:styleId="CittChar">
    <w:name w:val="Citát Char"/>
    <w:basedOn w:val="Standardnpsmoodstavce"/>
    <w:link w:val="Citt"/>
    <w:uiPriority w:val="99"/>
    <w:rsid w:val="004F529E"/>
    <w:rPr>
      <w:rFonts w:ascii="Calibri Light" w:eastAsia="Times New Roman" w:hAnsi="Calibri Light" w:cs="Times New Roman"/>
      <w:iCs/>
      <w:color w:val="44546A" w:themeColor="text2"/>
      <w:sz w:val="26"/>
      <w:szCs w:val="20"/>
      <w:lang w:eastAsia="cs-CZ"/>
    </w:rPr>
  </w:style>
  <w:style w:type="paragraph" w:styleId="Podnadpis">
    <w:name w:val="Subtitle"/>
    <w:basedOn w:val="Normln"/>
    <w:link w:val="PodnadpisChar"/>
    <w:uiPriority w:val="11"/>
    <w:qFormat/>
    <w:rsid w:val="006E4078"/>
    <w:pPr>
      <w:keepNext/>
      <w:shd w:val="clear" w:color="auto" w:fill="FFFFFF"/>
      <w:spacing w:after="240" w:line="240" w:lineRule="auto"/>
      <w:ind w:right="79"/>
      <w:jc w:val="both"/>
    </w:pPr>
    <w:rPr>
      <w:rFonts w:ascii="Calibri" w:hAnsi="Calibri" w:cs="Calibri"/>
      <w:b/>
      <w:bCs/>
      <w:color w:val="064094"/>
      <w:sz w:val="24"/>
      <w:szCs w:val="24"/>
      <w:lang w:eastAsia="cs-CZ"/>
    </w:rPr>
  </w:style>
  <w:style w:type="character" w:customStyle="1" w:styleId="PodnadpisChar">
    <w:name w:val="Podnadpis Char"/>
    <w:basedOn w:val="Standardnpsmoodstavce"/>
    <w:link w:val="Podnadpis"/>
    <w:uiPriority w:val="11"/>
    <w:rsid w:val="006E4078"/>
    <w:rPr>
      <w:rFonts w:ascii="Calibri" w:hAnsi="Calibri" w:cs="Calibri"/>
      <w:b/>
      <w:bCs/>
      <w:color w:val="064094"/>
      <w:sz w:val="24"/>
      <w:szCs w:val="24"/>
      <w:shd w:val="clear" w:color="auto" w:fill="FFFFFF"/>
      <w:lang w:eastAsia="cs-CZ"/>
    </w:rPr>
  </w:style>
  <w:style w:type="table" w:customStyle="1" w:styleId="Mkatabulky1">
    <w:name w:val="Mřížka tabulky1"/>
    <w:basedOn w:val="Normlntabulka"/>
    <w:next w:val="Mkatabulky"/>
    <w:uiPriority w:val="39"/>
    <w:unhideWhenUsed/>
    <w:rsid w:val="0009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1"/>
    <w:qFormat/>
    <w:rsid w:val="00A32290"/>
    <w:pPr>
      <w:widowControl w:val="0"/>
      <w:autoSpaceDE w:val="0"/>
      <w:autoSpaceDN w:val="0"/>
      <w:spacing w:after="0" w:line="240" w:lineRule="auto"/>
    </w:pPr>
    <w:rPr>
      <w:rFonts w:ascii="Arial" w:eastAsia="Arial" w:hAnsi="Arial" w:cs="Arial"/>
      <w:lang w:val="en-US"/>
    </w:rPr>
  </w:style>
  <w:style w:type="character" w:customStyle="1" w:styleId="ZkladntextChar">
    <w:name w:val="Základní text Char"/>
    <w:basedOn w:val="Standardnpsmoodstavce"/>
    <w:link w:val="Zkladntext"/>
    <w:uiPriority w:val="1"/>
    <w:rsid w:val="00A32290"/>
    <w:rPr>
      <w:rFonts w:ascii="Arial" w:eastAsia="Arial" w:hAnsi="Arial" w:cs="Arial"/>
      <w:lang w:val="en-US"/>
    </w:rPr>
  </w:style>
  <w:style w:type="paragraph" w:styleId="Titulek">
    <w:name w:val="caption"/>
    <w:basedOn w:val="Normln"/>
    <w:next w:val="Normln"/>
    <w:uiPriority w:val="35"/>
    <w:unhideWhenUsed/>
    <w:qFormat/>
    <w:rsid w:val="00D47E6A"/>
    <w:pPr>
      <w:spacing w:after="0" w:line="240" w:lineRule="auto"/>
    </w:pPr>
    <w:rPr>
      <w:b/>
      <w:bCs/>
      <w:color w:val="5B9BD5" w:themeColor="accent1"/>
      <w:sz w:val="20"/>
      <w:szCs w:val="18"/>
    </w:rPr>
  </w:style>
  <w:style w:type="paragraph" w:customStyle="1" w:styleId="4GChar">
    <w:name w:val="4_G Char"/>
    <w:aliases w:val="Footnote Reference1 Char,Footnotes refss Char,ftref Char,BVI fnr Char,BVI fnr Car Car Char,BVI fnr Car Char,BVI fnr Car Car Car Car Char,BVI fnr Char Car Car Car Char,Footnote Reference1,ftref,BVI fnr Car Car"/>
    <w:basedOn w:val="Normln"/>
    <w:link w:val="Znakapoznpodarou"/>
    <w:uiPriority w:val="99"/>
    <w:rsid w:val="008075E9"/>
    <w:pPr>
      <w:spacing w:after="160" w:line="240" w:lineRule="exact"/>
      <w:jc w:val="both"/>
    </w:pPr>
    <w:rPr>
      <w:rFonts w:cs="Times New Roman"/>
      <w:vertAlign w:val="superscript"/>
    </w:rPr>
  </w:style>
  <w:style w:type="paragraph" w:customStyle="1" w:styleId="MarginNote">
    <w:name w:val="Margin Note"/>
    <w:basedOn w:val="Normln"/>
    <w:uiPriority w:val="99"/>
    <w:qFormat/>
    <w:rsid w:val="0022581D"/>
    <w:pPr>
      <w:keepNext/>
      <w:framePr w:w="1973" w:hSpace="181" w:vSpace="181" w:wrap="around" w:vAnchor="text" w:hAnchor="page" w:x="774" w:y="31"/>
      <w:spacing w:after="0" w:line="240" w:lineRule="auto"/>
      <w:jc w:val="right"/>
    </w:pPr>
    <w:rPr>
      <w:rFonts w:ascii="Calibri Light" w:eastAsia="Calibri" w:hAnsi="Calibri Light" w:cs="Times New Roman"/>
      <w:color w:val="17365D"/>
      <w:sz w:val="19"/>
      <w:szCs w:val="19"/>
      <w:lang w:eastAsia="cs-CZ"/>
    </w:rPr>
  </w:style>
  <w:style w:type="numbering" w:customStyle="1" w:styleId="Styl4">
    <w:name w:val="Styl4"/>
    <w:uiPriority w:val="99"/>
    <w:rsid w:val="00D07C72"/>
    <w:pPr>
      <w:numPr>
        <w:numId w:val="20"/>
      </w:numPr>
    </w:pPr>
  </w:style>
  <w:style w:type="numbering" w:customStyle="1" w:styleId="Styl1">
    <w:name w:val="Styl1"/>
    <w:uiPriority w:val="99"/>
    <w:rsid w:val="00D07C72"/>
    <w:pPr>
      <w:numPr>
        <w:numId w:val="21"/>
      </w:numPr>
    </w:pPr>
  </w:style>
  <w:style w:type="numbering" w:customStyle="1" w:styleId="Styl2">
    <w:name w:val="Styl2"/>
    <w:uiPriority w:val="99"/>
    <w:rsid w:val="00D07C7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623">
      <w:bodyDiv w:val="1"/>
      <w:marLeft w:val="0"/>
      <w:marRight w:val="0"/>
      <w:marTop w:val="0"/>
      <w:marBottom w:val="0"/>
      <w:divBdr>
        <w:top w:val="none" w:sz="0" w:space="0" w:color="auto"/>
        <w:left w:val="none" w:sz="0" w:space="0" w:color="auto"/>
        <w:bottom w:val="none" w:sz="0" w:space="0" w:color="auto"/>
        <w:right w:val="none" w:sz="0" w:space="0" w:color="auto"/>
      </w:divBdr>
    </w:div>
    <w:div w:id="120390395">
      <w:bodyDiv w:val="1"/>
      <w:marLeft w:val="0"/>
      <w:marRight w:val="0"/>
      <w:marTop w:val="0"/>
      <w:marBottom w:val="0"/>
      <w:divBdr>
        <w:top w:val="none" w:sz="0" w:space="0" w:color="auto"/>
        <w:left w:val="none" w:sz="0" w:space="0" w:color="auto"/>
        <w:bottom w:val="none" w:sz="0" w:space="0" w:color="auto"/>
        <w:right w:val="none" w:sz="0" w:space="0" w:color="auto"/>
      </w:divBdr>
    </w:div>
    <w:div w:id="149713726">
      <w:bodyDiv w:val="1"/>
      <w:marLeft w:val="0"/>
      <w:marRight w:val="0"/>
      <w:marTop w:val="0"/>
      <w:marBottom w:val="0"/>
      <w:divBdr>
        <w:top w:val="none" w:sz="0" w:space="0" w:color="auto"/>
        <w:left w:val="none" w:sz="0" w:space="0" w:color="auto"/>
        <w:bottom w:val="none" w:sz="0" w:space="0" w:color="auto"/>
        <w:right w:val="none" w:sz="0" w:space="0" w:color="auto"/>
      </w:divBdr>
    </w:div>
    <w:div w:id="181749188">
      <w:bodyDiv w:val="1"/>
      <w:marLeft w:val="0"/>
      <w:marRight w:val="0"/>
      <w:marTop w:val="0"/>
      <w:marBottom w:val="0"/>
      <w:divBdr>
        <w:top w:val="none" w:sz="0" w:space="0" w:color="auto"/>
        <w:left w:val="none" w:sz="0" w:space="0" w:color="auto"/>
        <w:bottom w:val="none" w:sz="0" w:space="0" w:color="auto"/>
        <w:right w:val="none" w:sz="0" w:space="0" w:color="auto"/>
      </w:divBdr>
    </w:div>
    <w:div w:id="188223654">
      <w:bodyDiv w:val="1"/>
      <w:marLeft w:val="0"/>
      <w:marRight w:val="0"/>
      <w:marTop w:val="0"/>
      <w:marBottom w:val="0"/>
      <w:divBdr>
        <w:top w:val="none" w:sz="0" w:space="0" w:color="auto"/>
        <w:left w:val="none" w:sz="0" w:space="0" w:color="auto"/>
        <w:bottom w:val="none" w:sz="0" w:space="0" w:color="auto"/>
        <w:right w:val="none" w:sz="0" w:space="0" w:color="auto"/>
      </w:divBdr>
    </w:div>
    <w:div w:id="191118931">
      <w:bodyDiv w:val="1"/>
      <w:marLeft w:val="0"/>
      <w:marRight w:val="0"/>
      <w:marTop w:val="0"/>
      <w:marBottom w:val="0"/>
      <w:divBdr>
        <w:top w:val="none" w:sz="0" w:space="0" w:color="auto"/>
        <w:left w:val="none" w:sz="0" w:space="0" w:color="auto"/>
        <w:bottom w:val="none" w:sz="0" w:space="0" w:color="auto"/>
        <w:right w:val="none" w:sz="0" w:space="0" w:color="auto"/>
      </w:divBdr>
    </w:div>
    <w:div w:id="229580530">
      <w:bodyDiv w:val="1"/>
      <w:marLeft w:val="0"/>
      <w:marRight w:val="0"/>
      <w:marTop w:val="0"/>
      <w:marBottom w:val="0"/>
      <w:divBdr>
        <w:top w:val="none" w:sz="0" w:space="0" w:color="auto"/>
        <w:left w:val="none" w:sz="0" w:space="0" w:color="auto"/>
        <w:bottom w:val="none" w:sz="0" w:space="0" w:color="auto"/>
        <w:right w:val="none" w:sz="0" w:space="0" w:color="auto"/>
      </w:divBdr>
    </w:div>
    <w:div w:id="292098996">
      <w:bodyDiv w:val="1"/>
      <w:marLeft w:val="0"/>
      <w:marRight w:val="0"/>
      <w:marTop w:val="0"/>
      <w:marBottom w:val="0"/>
      <w:divBdr>
        <w:top w:val="none" w:sz="0" w:space="0" w:color="auto"/>
        <w:left w:val="none" w:sz="0" w:space="0" w:color="auto"/>
        <w:bottom w:val="none" w:sz="0" w:space="0" w:color="auto"/>
        <w:right w:val="none" w:sz="0" w:space="0" w:color="auto"/>
      </w:divBdr>
    </w:div>
    <w:div w:id="336155030">
      <w:bodyDiv w:val="1"/>
      <w:marLeft w:val="0"/>
      <w:marRight w:val="0"/>
      <w:marTop w:val="0"/>
      <w:marBottom w:val="0"/>
      <w:divBdr>
        <w:top w:val="none" w:sz="0" w:space="0" w:color="auto"/>
        <w:left w:val="none" w:sz="0" w:space="0" w:color="auto"/>
        <w:bottom w:val="none" w:sz="0" w:space="0" w:color="auto"/>
        <w:right w:val="none" w:sz="0" w:space="0" w:color="auto"/>
      </w:divBdr>
    </w:div>
    <w:div w:id="470363580">
      <w:bodyDiv w:val="1"/>
      <w:marLeft w:val="0"/>
      <w:marRight w:val="0"/>
      <w:marTop w:val="0"/>
      <w:marBottom w:val="0"/>
      <w:divBdr>
        <w:top w:val="none" w:sz="0" w:space="0" w:color="auto"/>
        <w:left w:val="none" w:sz="0" w:space="0" w:color="auto"/>
        <w:bottom w:val="none" w:sz="0" w:space="0" w:color="auto"/>
        <w:right w:val="none" w:sz="0" w:space="0" w:color="auto"/>
      </w:divBdr>
    </w:div>
    <w:div w:id="475075642">
      <w:bodyDiv w:val="1"/>
      <w:marLeft w:val="0"/>
      <w:marRight w:val="0"/>
      <w:marTop w:val="0"/>
      <w:marBottom w:val="0"/>
      <w:divBdr>
        <w:top w:val="none" w:sz="0" w:space="0" w:color="auto"/>
        <w:left w:val="none" w:sz="0" w:space="0" w:color="auto"/>
        <w:bottom w:val="none" w:sz="0" w:space="0" w:color="auto"/>
        <w:right w:val="none" w:sz="0" w:space="0" w:color="auto"/>
      </w:divBdr>
    </w:div>
    <w:div w:id="475729199">
      <w:bodyDiv w:val="1"/>
      <w:marLeft w:val="0"/>
      <w:marRight w:val="0"/>
      <w:marTop w:val="0"/>
      <w:marBottom w:val="0"/>
      <w:divBdr>
        <w:top w:val="none" w:sz="0" w:space="0" w:color="auto"/>
        <w:left w:val="none" w:sz="0" w:space="0" w:color="auto"/>
        <w:bottom w:val="none" w:sz="0" w:space="0" w:color="auto"/>
        <w:right w:val="none" w:sz="0" w:space="0" w:color="auto"/>
      </w:divBdr>
    </w:div>
    <w:div w:id="495151634">
      <w:bodyDiv w:val="1"/>
      <w:marLeft w:val="0"/>
      <w:marRight w:val="0"/>
      <w:marTop w:val="0"/>
      <w:marBottom w:val="0"/>
      <w:divBdr>
        <w:top w:val="none" w:sz="0" w:space="0" w:color="auto"/>
        <w:left w:val="none" w:sz="0" w:space="0" w:color="auto"/>
        <w:bottom w:val="none" w:sz="0" w:space="0" w:color="auto"/>
        <w:right w:val="none" w:sz="0" w:space="0" w:color="auto"/>
      </w:divBdr>
    </w:div>
    <w:div w:id="615218634">
      <w:bodyDiv w:val="1"/>
      <w:marLeft w:val="0"/>
      <w:marRight w:val="0"/>
      <w:marTop w:val="0"/>
      <w:marBottom w:val="0"/>
      <w:divBdr>
        <w:top w:val="none" w:sz="0" w:space="0" w:color="auto"/>
        <w:left w:val="none" w:sz="0" w:space="0" w:color="auto"/>
        <w:bottom w:val="none" w:sz="0" w:space="0" w:color="auto"/>
        <w:right w:val="none" w:sz="0" w:space="0" w:color="auto"/>
      </w:divBdr>
    </w:div>
    <w:div w:id="622003931">
      <w:bodyDiv w:val="1"/>
      <w:marLeft w:val="0"/>
      <w:marRight w:val="0"/>
      <w:marTop w:val="0"/>
      <w:marBottom w:val="0"/>
      <w:divBdr>
        <w:top w:val="none" w:sz="0" w:space="0" w:color="auto"/>
        <w:left w:val="none" w:sz="0" w:space="0" w:color="auto"/>
        <w:bottom w:val="none" w:sz="0" w:space="0" w:color="auto"/>
        <w:right w:val="none" w:sz="0" w:space="0" w:color="auto"/>
      </w:divBdr>
    </w:div>
    <w:div w:id="643701263">
      <w:bodyDiv w:val="1"/>
      <w:marLeft w:val="0"/>
      <w:marRight w:val="0"/>
      <w:marTop w:val="0"/>
      <w:marBottom w:val="0"/>
      <w:divBdr>
        <w:top w:val="none" w:sz="0" w:space="0" w:color="auto"/>
        <w:left w:val="none" w:sz="0" w:space="0" w:color="auto"/>
        <w:bottom w:val="none" w:sz="0" w:space="0" w:color="auto"/>
        <w:right w:val="none" w:sz="0" w:space="0" w:color="auto"/>
      </w:divBdr>
    </w:div>
    <w:div w:id="673608773">
      <w:bodyDiv w:val="1"/>
      <w:marLeft w:val="0"/>
      <w:marRight w:val="0"/>
      <w:marTop w:val="0"/>
      <w:marBottom w:val="0"/>
      <w:divBdr>
        <w:top w:val="none" w:sz="0" w:space="0" w:color="auto"/>
        <w:left w:val="none" w:sz="0" w:space="0" w:color="auto"/>
        <w:bottom w:val="none" w:sz="0" w:space="0" w:color="auto"/>
        <w:right w:val="none" w:sz="0" w:space="0" w:color="auto"/>
      </w:divBdr>
    </w:div>
    <w:div w:id="685716879">
      <w:bodyDiv w:val="1"/>
      <w:marLeft w:val="0"/>
      <w:marRight w:val="0"/>
      <w:marTop w:val="0"/>
      <w:marBottom w:val="0"/>
      <w:divBdr>
        <w:top w:val="none" w:sz="0" w:space="0" w:color="auto"/>
        <w:left w:val="none" w:sz="0" w:space="0" w:color="auto"/>
        <w:bottom w:val="none" w:sz="0" w:space="0" w:color="auto"/>
        <w:right w:val="none" w:sz="0" w:space="0" w:color="auto"/>
      </w:divBdr>
      <w:divsChild>
        <w:div w:id="120927880">
          <w:marLeft w:val="0"/>
          <w:marRight w:val="0"/>
          <w:marTop w:val="200"/>
          <w:marBottom w:val="0"/>
          <w:divBdr>
            <w:top w:val="none" w:sz="0" w:space="0" w:color="auto"/>
            <w:left w:val="none" w:sz="0" w:space="0" w:color="auto"/>
            <w:bottom w:val="none" w:sz="0" w:space="0" w:color="auto"/>
            <w:right w:val="none" w:sz="0" w:space="0" w:color="auto"/>
          </w:divBdr>
        </w:div>
        <w:div w:id="1923566960">
          <w:marLeft w:val="0"/>
          <w:marRight w:val="0"/>
          <w:marTop w:val="200"/>
          <w:marBottom w:val="0"/>
          <w:divBdr>
            <w:top w:val="none" w:sz="0" w:space="0" w:color="auto"/>
            <w:left w:val="none" w:sz="0" w:space="0" w:color="auto"/>
            <w:bottom w:val="none" w:sz="0" w:space="0" w:color="auto"/>
            <w:right w:val="none" w:sz="0" w:space="0" w:color="auto"/>
          </w:divBdr>
        </w:div>
        <w:div w:id="936406980">
          <w:marLeft w:val="0"/>
          <w:marRight w:val="0"/>
          <w:marTop w:val="200"/>
          <w:marBottom w:val="0"/>
          <w:divBdr>
            <w:top w:val="none" w:sz="0" w:space="0" w:color="auto"/>
            <w:left w:val="none" w:sz="0" w:space="0" w:color="auto"/>
            <w:bottom w:val="none" w:sz="0" w:space="0" w:color="auto"/>
            <w:right w:val="none" w:sz="0" w:space="0" w:color="auto"/>
          </w:divBdr>
        </w:div>
        <w:div w:id="1422994895">
          <w:marLeft w:val="0"/>
          <w:marRight w:val="0"/>
          <w:marTop w:val="200"/>
          <w:marBottom w:val="0"/>
          <w:divBdr>
            <w:top w:val="none" w:sz="0" w:space="0" w:color="auto"/>
            <w:left w:val="none" w:sz="0" w:space="0" w:color="auto"/>
            <w:bottom w:val="none" w:sz="0" w:space="0" w:color="auto"/>
            <w:right w:val="none" w:sz="0" w:space="0" w:color="auto"/>
          </w:divBdr>
        </w:div>
        <w:div w:id="2043433197">
          <w:marLeft w:val="0"/>
          <w:marRight w:val="0"/>
          <w:marTop w:val="200"/>
          <w:marBottom w:val="0"/>
          <w:divBdr>
            <w:top w:val="none" w:sz="0" w:space="0" w:color="auto"/>
            <w:left w:val="none" w:sz="0" w:space="0" w:color="auto"/>
            <w:bottom w:val="none" w:sz="0" w:space="0" w:color="auto"/>
            <w:right w:val="none" w:sz="0" w:space="0" w:color="auto"/>
          </w:divBdr>
        </w:div>
      </w:divsChild>
    </w:div>
    <w:div w:id="694573767">
      <w:bodyDiv w:val="1"/>
      <w:marLeft w:val="0"/>
      <w:marRight w:val="0"/>
      <w:marTop w:val="0"/>
      <w:marBottom w:val="0"/>
      <w:divBdr>
        <w:top w:val="none" w:sz="0" w:space="0" w:color="auto"/>
        <w:left w:val="none" w:sz="0" w:space="0" w:color="auto"/>
        <w:bottom w:val="none" w:sz="0" w:space="0" w:color="auto"/>
        <w:right w:val="none" w:sz="0" w:space="0" w:color="auto"/>
      </w:divBdr>
    </w:div>
    <w:div w:id="734547369">
      <w:bodyDiv w:val="1"/>
      <w:marLeft w:val="0"/>
      <w:marRight w:val="0"/>
      <w:marTop w:val="0"/>
      <w:marBottom w:val="0"/>
      <w:divBdr>
        <w:top w:val="none" w:sz="0" w:space="0" w:color="auto"/>
        <w:left w:val="none" w:sz="0" w:space="0" w:color="auto"/>
        <w:bottom w:val="none" w:sz="0" w:space="0" w:color="auto"/>
        <w:right w:val="none" w:sz="0" w:space="0" w:color="auto"/>
      </w:divBdr>
    </w:div>
    <w:div w:id="735663413">
      <w:bodyDiv w:val="1"/>
      <w:marLeft w:val="0"/>
      <w:marRight w:val="0"/>
      <w:marTop w:val="0"/>
      <w:marBottom w:val="0"/>
      <w:divBdr>
        <w:top w:val="none" w:sz="0" w:space="0" w:color="auto"/>
        <w:left w:val="none" w:sz="0" w:space="0" w:color="auto"/>
        <w:bottom w:val="none" w:sz="0" w:space="0" w:color="auto"/>
        <w:right w:val="none" w:sz="0" w:space="0" w:color="auto"/>
      </w:divBdr>
    </w:div>
    <w:div w:id="883100603">
      <w:bodyDiv w:val="1"/>
      <w:marLeft w:val="0"/>
      <w:marRight w:val="0"/>
      <w:marTop w:val="0"/>
      <w:marBottom w:val="0"/>
      <w:divBdr>
        <w:top w:val="none" w:sz="0" w:space="0" w:color="auto"/>
        <w:left w:val="none" w:sz="0" w:space="0" w:color="auto"/>
        <w:bottom w:val="none" w:sz="0" w:space="0" w:color="auto"/>
        <w:right w:val="none" w:sz="0" w:space="0" w:color="auto"/>
      </w:divBdr>
    </w:div>
    <w:div w:id="936719425">
      <w:bodyDiv w:val="1"/>
      <w:marLeft w:val="0"/>
      <w:marRight w:val="0"/>
      <w:marTop w:val="0"/>
      <w:marBottom w:val="0"/>
      <w:divBdr>
        <w:top w:val="none" w:sz="0" w:space="0" w:color="auto"/>
        <w:left w:val="none" w:sz="0" w:space="0" w:color="auto"/>
        <w:bottom w:val="none" w:sz="0" w:space="0" w:color="auto"/>
        <w:right w:val="none" w:sz="0" w:space="0" w:color="auto"/>
      </w:divBdr>
      <w:divsChild>
        <w:div w:id="1378898398">
          <w:marLeft w:val="446"/>
          <w:marRight w:val="0"/>
          <w:marTop w:val="0"/>
          <w:marBottom w:val="0"/>
          <w:divBdr>
            <w:top w:val="none" w:sz="0" w:space="0" w:color="auto"/>
            <w:left w:val="none" w:sz="0" w:space="0" w:color="auto"/>
            <w:bottom w:val="none" w:sz="0" w:space="0" w:color="auto"/>
            <w:right w:val="none" w:sz="0" w:space="0" w:color="auto"/>
          </w:divBdr>
        </w:div>
        <w:div w:id="593511220">
          <w:marLeft w:val="446"/>
          <w:marRight w:val="0"/>
          <w:marTop w:val="0"/>
          <w:marBottom w:val="0"/>
          <w:divBdr>
            <w:top w:val="none" w:sz="0" w:space="0" w:color="auto"/>
            <w:left w:val="none" w:sz="0" w:space="0" w:color="auto"/>
            <w:bottom w:val="none" w:sz="0" w:space="0" w:color="auto"/>
            <w:right w:val="none" w:sz="0" w:space="0" w:color="auto"/>
          </w:divBdr>
        </w:div>
        <w:div w:id="937102974">
          <w:marLeft w:val="446"/>
          <w:marRight w:val="0"/>
          <w:marTop w:val="0"/>
          <w:marBottom w:val="0"/>
          <w:divBdr>
            <w:top w:val="none" w:sz="0" w:space="0" w:color="auto"/>
            <w:left w:val="none" w:sz="0" w:space="0" w:color="auto"/>
            <w:bottom w:val="none" w:sz="0" w:space="0" w:color="auto"/>
            <w:right w:val="none" w:sz="0" w:space="0" w:color="auto"/>
          </w:divBdr>
        </w:div>
        <w:div w:id="1434201376">
          <w:marLeft w:val="446"/>
          <w:marRight w:val="0"/>
          <w:marTop w:val="0"/>
          <w:marBottom w:val="0"/>
          <w:divBdr>
            <w:top w:val="none" w:sz="0" w:space="0" w:color="auto"/>
            <w:left w:val="none" w:sz="0" w:space="0" w:color="auto"/>
            <w:bottom w:val="none" w:sz="0" w:space="0" w:color="auto"/>
            <w:right w:val="none" w:sz="0" w:space="0" w:color="auto"/>
          </w:divBdr>
        </w:div>
        <w:div w:id="1119686323">
          <w:marLeft w:val="446"/>
          <w:marRight w:val="0"/>
          <w:marTop w:val="0"/>
          <w:marBottom w:val="0"/>
          <w:divBdr>
            <w:top w:val="none" w:sz="0" w:space="0" w:color="auto"/>
            <w:left w:val="none" w:sz="0" w:space="0" w:color="auto"/>
            <w:bottom w:val="none" w:sz="0" w:space="0" w:color="auto"/>
            <w:right w:val="none" w:sz="0" w:space="0" w:color="auto"/>
          </w:divBdr>
        </w:div>
        <w:div w:id="1736974412">
          <w:marLeft w:val="446"/>
          <w:marRight w:val="0"/>
          <w:marTop w:val="0"/>
          <w:marBottom w:val="0"/>
          <w:divBdr>
            <w:top w:val="none" w:sz="0" w:space="0" w:color="auto"/>
            <w:left w:val="none" w:sz="0" w:space="0" w:color="auto"/>
            <w:bottom w:val="none" w:sz="0" w:space="0" w:color="auto"/>
            <w:right w:val="none" w:sz="0" w:space="0" w:color="auto"/>
          </w:divBdr>
        </w:div>
        <w:div w:id="1783380587">
          <w:marLeft w:val="446"/>
          <w:marRight w:val="0"/>
          <w:marTop w:val="0"/>
          <w:marBottom w:val="0"/>
          <w:divBdr>
            <w:top w:val="none" w:sz="0" w:space="0" w:color="auto"/>
            <w:left w:val="none" w:sz="0" w:space="0" w:color="auto"/>
            <w:bottom w:val="none" w:sz="0" w:space="0" w:color="auto"/>
            <w:right w:val="none" w:sz="0" w:space="0" w:color="auto"/>
          </w:divBdr>
        </w:div>
        <w:div w:id="1988052721">
          <w:marLeft w:val="446"/>
          <w:marRight w:val="0"/>
          <w:marTop w:val="0"/>
          <w:marBottom w:val="0"/>
          <w:divBdr>
            <w:top w:val="none" w:sz="0" w:space="0" w:color="auto"/>
            <w:left w:val="none" w:sz="0" w:space="0" w:color="auto"/>
            <w:bottom w:val="none" w:sz="0" w:space="0" w:color="auto"/>
            <w:right w:val="none" w:sz="0" w:space="0" w:color="auto"/>
          </w:divBdr>
        </w:div>
        <w:div w:id="2125270065">
          <w:marLeft w:val="446"/>
          <w:marRight w:val="0"/>
          <w:marTop w:val="0"/>
          <w:marBottom w:val="0"/>
          <w:divBdr>
            <w:top w:val="none" w:sz="0" w:space="0" w:color="auto"/>
            <w:left w:val="none" w:sz="0" w:space="0" w:color="auto"/>
            <w:bottom w:val="none" w:sz="0" w:space="0" w:color="auto"/>
            <w:right w:val="none" w:sz="0" w:space="0" w:color="auto"/>
          </w:divBdr>
        </w:div>
        <w:div w:id="580526611">
          <w:marLeft w:val="446"/>
          <w:marRight w:val="0"/>
          <w:marTop w:val="0"/>
          <w:marBottom w:val="0"/>
          <w:divBdr>
            <w:top w:val="none" w:sz="0" w:space="0" w:color="auto"/>
            <w:left w:val="none" w:sz="0" w:space="0" w:color="auto"/>
            <w:bottom w:val="none" w:sz="0" w:space="0" w:color="auto"/>
            <w:right w:val="none" w:sz="0" w:space="0" w:color="auto"/>
          </w:divBdr>
        </w:div>
        <w:div w:id="752580162">
          <w:marLeft w:val="446"/>
          <w:marRight w:val="0"/>
          <w:marTop w:val="0"/>
          <w:marBottom w:val="0"/>
          <w:divBdr>
            <w:top w:val="none" w:sz="0" w:space="0" w:color="auto"/>
            <w:left w:val="none" w:sz="0" w:space="0" w:color="auto"/>
            <w:bottom w:val="none" w:sz="0" w:space="0" w:color="auto"/>
            <w:right w:val="none" w:sz="0" w:space="0" w:color="auto"/>
          </w:divBdr>
        </w:div>
        <w:div w:id="1113093959">
          <w:marLeft w:val="446"/>
          <w:marRight w:val="0"/>
          <w:marTop w:val="0"/>
          <w:marBottom w:val="0"/>
          <w:divBdr>
            <w:top w:val="none" w:sz="0" w:space="0" w:color="auto"/>
            <w:left w:val="none" w:sz="0" w:space="0" w:color="auto"/>
            <w:bottom w:val="none" w:sz="0" w:space="0" w:color="auto"/>
            <w:right w:val="none" w:sz="0" w:space="0" w:color="auto"/>
          </w:divBdr>
        </w:div>
        <w:div w:id="491333367">
          <w:marLeft w:val="446"/>
          <w:marRight w:val="0"/>
          <w:marTop w:val="0"/>
          <w:marBottom w:val="0"/>
          <w:divBdr>
            <w:top w:val="none" w:sz="0" w:space="0" w:color="auto"/>
            <w:left w:val="none" w:sz="0" w:space="0" w:color="auto"/>
            <w:bottom w:val="none" w:sz="0" w:space="0" w:color="auto"/>
            <w:right w:val="none" w:sz="0" w:space="0" w:color="auto"/>
          </w:divBdr>
        </w:div>
        <w:div w:id="740642440">
          <w:marLeft w:val="446"/>
          <w:marRight w:val="0"/>
          <w:marTop w:val="0"/>
          <w:marBottom w:val="0"/>
          <w:divBdr>
            <w:top w:val="none" w:sz="0" w:space="0" w:color="auto"/>
            <w:left w:val="none" w:sz="0" w:space="0" w:color="auto"/>
            <w:bottom w:val="none" w:sz="0" w:space="0" w:color="auto"/>
            <w:right w:val="none" w:sz="0" w:space="0" w:color="auto"/>
          </w:divBdr>
        </w:div>
        <w:div w:id="1878660579">
          <w:marLeft w:val="446"/>
          <w:marRight w:val="0"/>
          <w:marTop w:val="0"/>
          <w:marBottom w:val="0"/>
          <w:divBdr>
            <w:top w:val="none" w:sz="0" w:space="0" w:color="auto"/>
            <w:left w:val="none" w:sz="0" w:space="0" w:color="auto"/>
            <w:bottom w:val="none" w:sz="0" w:space="0" w:color="auto"/>
            <w:right w:val="none" w:sz="0" w:space="0" w:color="auto"/>
          </w:divBdr>
        </w:div>
        <w:div w:id="2013533437">
          <w:marLeft w:val="446"/>
          <w:marRight w:val="0"/>
          <w:marTop w:val="0"/>
          <w:marBottom w:val="0"/>
          <w:divBdr>
            <w:top w:val="none" w:sz="0" w:space="0" w:color="auto"/>
            <w:left w:val="none" w:sz="0" w:space="0" w:color="auto"/>
            <w:bottom w:val="none" w:sz="0" w:space="0" w:color="auto"/>
            <w:right w:val="none" w:sz="0" w:space="0" w:color="auto"/>
          </w:divBdr>
        </w:div>
        <w:div w:id="1075738182">
          <w:marLeft w:val="446"/>
          <w:marRight w:val="0"/>
          <w:marTop w:val="0"/>
          <w:marBottom w:val="0"/>
          <w:divBdr>
            <w:top w:val="none" w:sz="0" w:space="0" w:color="auto"/>
            <w:left w:val="none" w:sz="0" w:space="0" w:color="auto"/>
            <w:bottom w:val="none" w:sz="0" w:space="0" w:color="auto"/>
            <w:right w:val="none" w:sz="0" w:space="0" w:color="auto"/>
          </w:divBdr>
        </w:div>
        <w:div w:id="247008423">
          <w:marLeft w:val="446"/>
          <w:marRight w:val="0"/>
          <w:marTop w:val="0"/>
          <w:marBottom w:val="0"/>
          <w:divBdr>
            <w:top w:val="none" w:sz="0" w:space="0" w:color="auto"/>
            <w:left w:val="none" w:sz="0" w:space="0" w:color="auto"/>
            <w:bottom w:val="none" w:sz="0" w:space="0" w:color="auto"/>
            <w:right w:val="none" w:sz="0" w:space="0" w:color="auto"/>
          </w:divBdr>
        </w:div>
        <w:div w:id="470292913">
          <w:marLeft w:val="446"/>
          <w:marRight w:val="0"/>
          <w:marTop w:val="0"/>
          <w:marBottom w:val="0"/>
          <w:divBdr>
            <w:top w:val="none" w:sz="0" w:space="0" w:color="auto"/>
            <w:left w:val="none" w:sz="0" w:space="0" w:color="auto"/>
            <w:bottom w:val="none" w:sz="0" w:space="0" w:color="auto"/>
            <w:right w:val="none" w:sz="0" w:space="0" w:color="auto"/>
          </w:divBdr>
        </w:div>
        <w:div w:id="256717803">
          <w:marLeft w:val="446"/>
          <w:marRight w:val="0"/>
          <w:marTop w:val="0"/>
          <w:marBottom w:val="0"/>
          <w:divBdr>
            <w:top w:val="none" w:sz="0" w:space="0" w:color="auto"/>
            <w:left w:val="none" w:sz="0" w:space="0" w:color="auto"/>
            <w:bottom w:val="none" w:sz="0" w:space="0" w:color="auto"/>
            <w:right w:val="none" w:sz="0" w:space="0" w:color="auto"/>
          </w:divBdr>
        </w:div>
        <w:div w:id="594559271">
          <w:marLeft w:val="446"/>
          <w:marRight w:val="0"/>
          <w:marTop w:val="0"/>
          <w:marBottom w:val="0"/>
          <w:divBdr>
            <w:top w:val="none" w:sz="0" w:space="0" w:color="auto"/>
            <w:left w:val="none" w:sz="0" w:space="0" w:color="auto"/>
            <w:bottom w:val="none" w:sz="0" w:space="0" w:color="auto"/>
            <w:right w:val="none" w:sz="0" w:space="0" w:color="auto"/>
          </w:divBdr>
        </w:div>
        <w:div w:id="1926065653">
          <w:marLeft w:val="446"/>
          <w:marRight w:val="0"/>
          <w:marTop w:val="0"/>
          <w:marBottom w:val="0"/>
          <w:divBdr>
            <w:top w:val="none" w:sz="0" w:space="0" w:color="auto"/>
            <w:left w:val="none" w:sz="0" w:space="0" w:color="auto"/>
            <w:bottom w:val="none" w:sz="0" w:space="0" w:color="auto"/>
            <w:right w:val="none" w:sz="0" w:space="0" w:color="auto"/>
          </w:divBdr>
        </w:div>
        <w:div w:id="1241603192">
          <w:marLeft w:val="446"/>
          <w:marRight w:val="0"/>
          <w:marTop w:val="0"/>
          <w:marBottom w:val="0"/>
          <w:divBdr>
            <w:top w:val="none" w:sz="0" w:space="0" w:color="auto"/>
            <w:left w:val="none" w:sz="0" w:space="0" w:color="auto"/>
            <w:bottom w:val="none" w:sz="0" w:space="0" w:color="auto"/>
            <w:right w:val="none" w:sz="0" w:space="0" w:color="auto"/>
          </w:divBdr>
        </w:div>
        <w:div w:id="1853716116">
          <w:marLeft w:val="446"/>
          <w:marRight w:val="0"/>
          <w:marTop w:val="0"/>
          <w:marBottom w:val="0"/>
          <w:divBdr>
            <w:top w:val="none" w:sz="0" w:space="0" w:color="auto"/>
            <w:left w:val="none" w:sz="0" w:space="0" w:color="auto"/>
            <w:bottom w:val="none" w:sz="0" w:space="0" w:color="auto"/>
            <w:right w:val="none" w:sz="0" w:space="0" w:color="auto"/>
          </w:divBdr>
        </w:div>
        <w:div w:id="1841040348">
          <w:marLeft w:val="446"/>
          <w:marRight w:val="0"/>
          <w:marTop w:val="0"/>
          <w:marBottom w:val="0"/>
          <w:divBdr>
            <w:top w:val="none" w:sz="0" w:space="0" w:color="auto"/>
            <w:left w:val="none" w:sz="0" w:space="0" w:color="auto"/>
            <w:bottom w:val="none" w:sz="0" w:space="0" w:color="auto"/>
            <w:right w:val="none" w:sz="0" w:space="0" w:color="auto"/>
          </w:divBdr>
        </w:div>
        <w:div w:id="1179538047">
          <w:marLeft w:val="446"/>
          <w:marRight w:val="0"/>
          <w:marTop w:val="0"/>
          <w:marBottom w:val="0"/>
          <w:divBdr>
            <w:top w:val="none" w:sz="0" w:space="0" w:color="auto"/>
            <w:left w:val="none" w:sz="0" w:space="0" w:color="auto"/>
            <w:bottom w:val="none" w:sz="0" w:space="0" w:color="auto"/>
            <w:right w:val="none" w:sz="0" w:space="0" w:color="auto"/>
          </w:divBdr>
        </w:div>
      </w:divsChild>
    </w:div>
    <w:div w:id="1006788667">
      <w:bodyDiv w:val="1"/>
      <w:marLeft w:val="0"/>
      <w:marRight w:val="0"/>
      <w:marTop w:val="0"/>
      <w:marBottom w:val="0"/>
      <w:divBdr>
        <w:top w:val="none" w:sz="0" w:space="0" w:color="auto"/>
        <w:left w:val="none" w:sz="0" w:space="0" w:color="auto"/>
        <w:bottom w:val="none" w:sz="0" w:space="0" w:color="auto"/>
        <w:right w:val="none" w:sz="0" w:space="0" w:color="auto"/>
      </w:divBdr>
    </w:div>
    <w:div w:id="1077482869">
      <w:bodyDiv w:val="1"/>
      <w:marLeft w:val="0"/>
      <w:marRight w:val="0"/>
      <w:marTop w:val="0"/>
      <w:marBottom w:val="0"/>
      <w:divBdr>
        <w:top w:val="none" w:sz="0" w:space="0" w:color="auto"/>
        <w:left w:val="none" w:sz="0" w:space="0" w:color="auto"/>
        <w:bottom w:val="none" w:sz="0" w:space="0" w:color="auto"/>
        <w:right w:val="none" w:sz="0" w:space="0" w:color="auto"/>
      </w:divBdr>
    </w:div>
    <w:div w:id="1304197365">
      <w:marLeft w:val="0"/>
      <w:marRight w:val="0"/>
      <w:marTop w:val="0"/>
      <w:marBottom w:val="0"/>
      <w:divBdr>
        <w:top w:val="none" w:sz="0" w:space="0" w:color="auto"/>
        <w:left w:val="none" w:sz="0" w:space="0" w:color="auto"/>
        <w:bottom w:val="none" w:sz="0" w:space="0" w:color="auto"/>
        <w:right w:val="none" w:sz="0" w:space="0" w:color="auto"/>
      </w:divBdr>
    </w:div>
    <w:div w:id="1304197366">
      <w:marLeft w:val="0"/>
      <w:marRight w:val="0"/>
      <w:marTop w:val="0"/>
      <w:marBottom w:val="0"/>
      <w:divBdr>
        <w:top w:val="none" w:sz="0" w:space="0" w:color="auto"/>
        <w:left w:val="none" w:sz="0" w:space="0" w:color="auto"/>
        <w:bottom w:val="none" w:sz="0" w:space="0" w:color="auto"/>
        <w:right w:val="none" w:sz="0" w:space="0" w:color="auto"/>
      </w:divBdr>
    </w:div>
    <w:div w:id="1304197367">
      <w:marLeft w:val="0"/>
      <w:marRight w:val="0"/>
      <w:marTop w:val="0"/>
      <w:marBottom w:val="0"/>
      <w:divBdr>
        <w:top w:val="none" w:sz="0" w:space="0" w:color="auto"/>
        <w:left w:val="none" w:sz="0" w:space="0" w:color="auto"/>
        <w:bottom w:val="none" w:sz="0" w:space="0" w:color="auto"/>
        <w:right w:val="none" w:sz="0" w:space="0" w:color="auto"/>
      </w:divBdr>
    </w:div>
    <w:div w:id="1304197368">
      <w:marLeft w:val="0"/>
      <w:marRight w:val="0"/>
      <w:marTop w:val="0"/>
      <w:marBottom w:val="0"/>
      <w:divBdr>
        <w:top w:val="none" w:sz="0" w:space="0" w:color="auto"/>
        <w:left w:val="none" w:sz="0" w:space="0" w:color="auto"/>
        <w:bottom w:val="none" w:sz="0" w:space="0" w:color="auto"/>
        <w:right w:val="none" w:sz="0" w:space="0" w:color="auto"/>
      </w:divBdr>
    </w:div>
    <w:div w:id="1304197369">
      <w:marLeft w:val="0"/>
      <w:marRight w:val="0"/>
      <w:marTop w:val="0"/>
      <w:marBottom w:val="0"/>
      <w:divBdr>
        <w:top w:val="none" w:sz="0" w:space="0" w:color="auto"/>
        <w:left w:val="none" w:sz="0" w:space="0" w:color="auto"/>
        <w:bottom w:val="none" w:sz="0" w:space="0" w:color="auto"/>
        <w:right w:val="none" w:sz="0" w:space="0" w:color="auto"/>
      </w:divBdr>
    </w:div>
    <w:div w:id="1304197370">
      <w:marLeft w:val="0"/>
      <w:marRight w:val="0"/>
      <w:marTop w:val="0"/>
      <w:marBottom w:val="0"/>
      <w:divBdr>
        <w:top w:val="none" w:sz="0" w:space="0" w:color="auto"/>
        <w:left w:val="none" w:sz="0" w:space="0" w:color="auto"/>
        <w:bottom w:val="none" w:sz="0" w:space="0" w:color="auto"/>
        <w:right w:val="none" w:sz="0" w:space="0" w:color="auto"/>
      </w:divBdr>
    </w:div>
    <w:div w:id="1304197371">
      <w:marLeft w:val="0"/>
      <w:marRight w:val="0"/>
      <w:marTop w:val="0"/>
      <w:marBottom w:val="0"/>
      <w:divBdr>
        <w:top w:val="none" w:sz="0" w:space="0" w:color="auto"/>
        <w:left w:val="none" w:sz="0" w:space="0" w:color="auto"/>
        <w:bottom w:val="none" w:sz="0" w:space="0" w:color="auto"/>
        <w:right w:val="none" w:sz="0" w:space="0" w:color="auto"/>
      </w:divBdr>
    </w:div>
    <w:div w:id="1304197372">
      <w:marLeft w:val="0"/>
      <w:marRight w:val="0"/>
      <w:marTop w:val="0"/>
      <w:marBottom w:val="0"/>
      <w:divBdr>
        <w:top w:val="none" w:sz="0" w:space="0" w:color="auto"/>
        <w:left w:val="none" w:sz="0" w:space="0" w:color="auto"/>
        <w:bottom w:val="none" w:sz="0" w:space="0" w:color="auto"/>
        <w:right w:val="none" w:sz="0" w:space="0" w:color="auto"/>
      </w:divBdr>
    </w:div>
    <w:div w:id="1304197373">
      <w:marLeft w:val="0"/>
      <w:marRight w:val="0"/>
      <w:marTop w:val="0"/>
      <w:marBottom w:val="0"/>
      <w:divBdr>
        <w:top w:val="none" w:sz="0" w:space="0" w:color="auto"/>
        <w:left w:val="none" w:sz="0" w:space="0" w:color="auto"/>
        <w:bottom w:val="none" w:sz="0" w:space="0" w:color="auto"/>
        <w:right w:val="none" w:sz="0" w:space="0" w:color="auto"/>
      </w:divBdr>
    </w:div>
    <w:div w:id="1304197374">
      <w:marLeft w:val="0"/>
      <w:marRight w:val="0"/>
      <w:marTop w:val="0"/>
      <w:marBottom w:val="0"/>
      <w:divBdr>
        <w:top w:val="none" w:sz="0" w:space="0" w:color="auto"/>
        <w:left w:val="none" w:sz="0" w:space="0" w:color="auto"/>
        <w:bottom w:val="none" w:sz="0" w:space="0" w:color="auto"/>
        <w:right w:val="none" w:sz="0" w:space="0" w:color="auto"/>
      </w:divBdr>
    </w:div>
    <w:div w:id="1304197375">
      <w:marLeft w:val="0"/>
      <w:marRight w:val="0"/>
      <w:marTop w:val="0"/>
      <w:marBottom w:val="0"/>
      <w:divBdr>
        <w:top w:val="none" w:sz="0" w:space="0" w:color="auto"/>
        <w:left w:val="none" w:sz="0" w:space="0" w:color="auto"/>
        <w:bottom w:val="none" w:sz="0" w:space="0" w:color="auto"/>
        <w:right w:val="none" w:sz="0" w:space="0" w:color="auto"/>
      </w:divBdr>
    </w:div>
    <w:div w:id="1330055814">
      <w:bodyDiv w:val="1"/>
      <w:marLeft w:val="0"/>
      <w:marRight w:val="0"/>
      <w:marTop w:val="0"/>
      <w:marBottom w:val="0"/>
      <w:divBdr>
        <w:top w:val="none" w:sz="0" w:space="0" w:color="auto"/>
        <w:left w:val="none" w:sz="0" w:space="0" w:color="auto"/>
        <w:bottom w:val="none" w:sz="0" w:space="0" w:color="auto"/>
        <w:right w:val="none" w:sz="0" w:space="0" w:color="auto"/>
      </w:divBdr>
    </w:div>
    <w:div w:id="1371344577">
      <w:bodyDiv w:val="1"/>
      <w:marLeft w:val="0"/>
      <w:marRight w:val="0"/>
      <w:marTop w:val="0"/>
      <w:marBottom w:val="0"/>
      <w:divBdr>
        <w:top w:val="none" w:sz="0" w:space="0" w:color="auto"/>
        <w:left w:val="none" w:sz="0" w:space="0" w:color="auto"/>
        <w:bottom w:val="none" w:sz="0" w:space="0" w:color="auto"/>
        <w:right w:val="none" w:sz="0" w:space="0" w:color="auto"/>
      </w:divBdr>
    </w:div>
    <w:div w:id="1418211460">
      <w:bodyDiv w:val="1"/>
      <w:marLeft w:val="0"/>
      <w:marRight w:val="0"/>
      <w:marTop w:val="0"/>
      <w:marBottom w:val="0"/>
      <w:divBdr>
        <w:top w:val="none" w:sz="0" w:space="0" w:color="auto"/>
        <w:left w:val="none" w:sz="0" w:space="0" w:color="auto"/>
        <w:bottom w:val="none" w:sz="0" w:space="0" w:color="auto"/>
        <w:right w:val="none" w:sz="0" w:space="0" w:color="auto"/>
      </w:divBdr>
    </w:div>
    <w:div w:id="1484274867">
      <w:bodyDiv w:val="1"/>
      <w:marLeft w:val="0"/>
      <w:marRight w:val="0"/>
      <w:marTop w:val="0"/>
      <w:marBottom w:val="0"/>
      <w:divBdr>
        <w:top w:val="none" w:sz="0" w:space="0" w:color="auto"/>
        <w:left w:val="none" w:sz="0" w:space="0" w:color="auto"/>
        <w:bottom w:val="none" w:sz="0" w:space="0" w:color="auto"/>
        <w:right w:val="none" w:sz="0" w:space="0" w:color="auto"/>
      </w:divBdr>
    </w:div>
    <w:div w:id="1505825637">
      <w:bodyDiv w:val="1"/>
      <w:marLeft w:val="0"/>
      <w:marRight w:val="0"/>
      <w:marTop w:val="0"/>
      <w:marBottom w:val="0"/>
      <w:divBdr>
        <w:top w:val="none" w:sz="0" w:space="0" w:color="auto"/>
        <w:left w:val="none" w:sz="0" w:space="0" w:color="auto"/>
        <w:bottom w:val="none" w:sz="0" w:space="0" w:color="auto"/>
        <w:right w:val="none" w:sz="0" w:space="0" w:color="auto"/>
      </w:divBdr>
    </w:div>
    <w:div w:id="1508717195">
      <w:bodyDiv w:val="1"/>
      <w:marLeft w:val="0"/>
      <w:marRight w:val="0"/>
      <w:marTop w:val="0"/>
      <w:marBottom w:val="0"/>
      <w:divBdr>
        <w:top w:val="none" w:sz="0" w:space="0" w:color="auto"/>
        <w:left w:val="none" w:sz="0" w:space="0" w:color="auto"/>
        <w:bottom w:val="none" w:sz="0" w:space="0" w:color="auto"/>
        <w:right w:val="none" w:sz="0" w:space="0" w:color="auto"/>
      </w:divBdr>
    </w:div>
    <w:div w:id="1587879973">
      <w:bodyDiv w:val="1"/>
      <w:marLeft w:val="0"/>
      <w:marRight w:val="0"/>
      <w:marTop w:val="0"/>
      <w:marBottom w:val="0"/>
      <w:divBdr>
        <w:top w:val="none" w:sz="0" w:space="0" w:color="auto"/>
        <w:left w:val="none" w:sz="0" w:space="0" w:color="auto"/>
        <w:bottom w:val="none" w:sz="0" w:space="0" w:color="auto"/>
        <w:right w:val="none" w:sz="0" w:space="0" w:color="auto"/>
      </w:divBdr>
    </w:div>
    <w:div w:id="1597983249">
      <w:bodyDiv w:val="1"/>
      <w:marLeft w:val="0"/>
      <w:marRight w:val="0"/>
      <w:marTop w:val="0"/>
      <w:marBottom w:val="0"/>
      <w:divBdr>
        <w:top w:val="none" w:sz="0" w:space="0" w:color="auto"/>
        <w:left w:val="none" w:sz="0" w:space="0" w:color="auto"/>
        <w:bottom w:val="none" w:sz="0" w:space="0" w:color="auto"/>
        <w:right w:val="none" w:sz="0" w:space="0" w:color="auto"/>
      </w:divBdr>
    </w:div>
    <w:div w:id="1612662520">
      <w:bodyDiv w:val="1"/>
      <w:marLeft w:val="0"/>
      <w:marRight w:val="0"/>
      <w:marTop w:val="0"/>
      <w:marBottom w:val="0"/>
      <w:divBdr>
        <w:top w:val="none" w:sz="0" w:space="0" w:color="auto"/>
        <w:left w:val="none" w:sz="0" w:space="0" w:color="auto"/>
        <w:bottom w:val="none" w:sz="0" w:space="0" w:color="auto"/>
        <w:right w:val="none" w:sz="0" w:space="0" w:color="auto"/>
      </w:divBdr>
    </w:div>
    <w:div w:id="1613123145">
      <w:bodyDiv w:val="1"/>
      <w:marLeft w:val="0"/>
      <w:marRight w:val="0"/>
      <w:marTop w:val="0"/>
      <w:marBottom w:val="0"/>
      <w:divBdr>
        <w:top w:val="none" w:sz="0" w:space="0" w:color="auto"/>
        <w:left w:val="none" w:sz="0" w:space="0" w:color="auto"/>
        <w:bottom w:val="none" w:sz="0" w:space="0" w:color="auto"/>
        <w:right w:val="none" w:sz="0" w:space="0" w:color="auto"/>
      </w:divBdr>
    </w:div>
    <w:div w:id="1705670390">
      <w:bodyDiv w:val="1"/>
      <w:marLeft w:val="0"/>
      <w:marRight w:val="0"/>
      <w:marTop w:val="0"/>
      <w:marBottom w:val="0"/>
      <w:divBdr>
        <w:top w:val="none" w:sz="0" w:space="0" w:color="auto"/>
        <w:left w:val="none" w:sz="0" w:space="0" w:color="auto"/>
        <w:bottom w:val="none" w:sz="0" w:space="0" w:color="auto"/>
        <w:right w:val="none" w:sz="0" w:space="0" w:color="auto"/>
      </w:divBdr>
    </w:div>
    <w:div w:id="1724214102">
      <w:bodyDiv w:val="1"/>
      <w:marLeft w:val="0"/>
      <w:marRight w:val="0"/>
      <w:marTop w:val="0"/>
      <w:marBottom w:val="0"/>
      <w:divBdr>
        <w:top w:val="none" w:sz="0" w:space="0" w:color="auto"/>
        <w:left w:val="none" w:sz="0" w:space="0" w:color="auto"/>
        <w:bottom w:val="none" w:sz="0" w:space="0" w:color="auto"/>
        <w:right w:val="none" w:sz="0" w:space="0" w:color="auto"/>
      </w:divBdr>
    </w:div>
    <w:div w:id="1727487441">
      <w:bodyDiv w:val="1"/>
      <w:marLeft w:val="0"/>
      <w:marRight w:val="0"/>
      <w:marTop w:val="0"/>
      <w:marBottom w:val="0"/>
      <w:divBdr>
        <w:top w:val="none" w:sz="0" w:space="0" w:color="auto"/>
        <w:left w:val="none" w:sz="0" w:space="0" w:color="auto"/>
        <w:bottom w:val="none" w:sz="0" w:space="0" w:color="auto"/>
        <w:right w:val="none" w:sz="0" w:space="0" w:color="auto"/>
      </w:divBdr>
    </w:div>
    <w:div w:id="1733120946">
      <w:bodyDiv w:val="1"/>
      <w:marLeft w:val="0"/>
      <w:marRight w:val="0"/>
      <w:marTop w:val="0"/>
      <w:marBottom w:val="0"/>
      <w:divBdr>
        <w:top w:val="none" w:sz="0" w:space="0" w:color="auto"/>
        <w:left w:val="none" w:sz="0" w:space="0" w:color="auto"/>
        <w:bottom w:val="none" w:sz="0" w:space="0" w:color="auto"/>
        <w:right w:val="none" w:sz="0" w:space="0" w:color="auto"/>
      </w:divBdr>
    </w:div>
    <w:div w:id="1942640404">
      <w:bodyDiv w:val="1"/>
      <w:marLeft w:val="0"/>
      <w:marRight w:val="0"/>
      <w:marTop w:val="0"/>
      <w:marBottom w:val="0"/>
      <w:divBdr>
        <w:top w:val="none" w:sz="0" w:space="0" w:color="auto"/>
        <w:left w:val="none" w:sz="0" w:space="0" w:color="auto"/>
        <w:bottom w:val="none" w:sz="0" w:space="0" w:color="auto"/>
        <w:right w:val="none" w:sz="0" w:space="0" w:color="auto"/>
      </w:divBdr>
    </w:div>
    <w:div w:id="1958097514">
      <w:bodyDiv w:val="1"/>
      <w:marLeft w:val="0"/>
      <w:marRight w:val="0"/>
      <w:marTop w:val="0"/>
      <w:marBottom w:val="0"/>
      <w:divBdr>
        <w:top w:val="none" w:sz="0" w:space="0" w:color="auto"/>
        <w:left w:val="none" w:sz="0" w:space="0" w:color="auto"/>
        <w:bottom w:val="none" w:sz="0" w:space="0" w:color="auto"/>
        <w:right w:val="none" w:sz="0" w:space="0" w:color="auto"/>
      </w:divBdr>
    </w:div>
    <w:div w:id="20291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13" Type="http://schemas.openxmlformats.org/officeDocument/2006/relationships/hyperlink" Target="https://www.mpsv.cz/documents/20142/372809/NAP_311214.pdf/0cc270fa-dbf9-fcd5-93d6-5e7b0e9376b2" TargetMode="External"/><Relationship Id="rId18" Type="http://schemas.openxmlformats.org/officeDocument/2006/relationships/hyperlink" Target="https://www.czso.cz/csu/czso/vekove-slozeni-obyvatelstva-2021" TargetMode="External"/><Relationship Id="rId26" Type="http://schemas.openxmlformats.org/officeDocument/2006/relationships/hyperlink" Target="https://data.irozhlas.cz/zivot/ekonomicke-dopady/" TargetMode="External"/><Relationship Id="rId39" Type="http://schemas.openxmlformats.org/officeDocument/2006/relationships/hyperlink" Target="http://casopis-zsfju.zsf.jcu.cz/prevence-urazu-otrav-a-nasili/clanky/2~2005/78-domaci-nasili-a-seniori" TargetMode="External"/><Relationship Id="rId21" Type="http://schemas.openxmlformats.org/officeDocument/2006/relationships/hyperlink" Target="https://www.vlada.cz/cz/media-centrum/aktualne/vlada-schvalila-upravene-parametry-valorizace-duchodu--prumerny-starobni-duchodce-dostane-o-760-korun-vice-203160/" TargetMode="External"/><Relationship Id="rId34" Type="http://schemas.openxmlformats.org/officeDocument/2006/relationships/hyperlink" Target="https://uss4.cz/2-rijna-je-den-pecujicich/" TargetMode="External"/><Relationship Id="rId7" Type="http://schemas.openxmlformats.org/officeDocument/2006/relationships/hyperlink" Target="http://socialnibydleni.mpsv.cz/cs/co-je-socialni-bydleni/koncepce-socialniho-bydleni-cr-2015-2025" TargetMode="External"/><Relationship Id="rId12" Type="http://schemas.openxmlformats.org/officeDocument/2006/relationships/hyperlink" Target="https://data.mpsv.cz/narodni-program-pripravy-na-starnuti-na-obdobi-let-2008-az-2012-kvalita-zivota-ve-stari-" TargetMode="External"/><Relationship Id="rId17" Type="http://schemas.openxmlformats.org/officeDocument/2006/relationships/hyperlink" Target="https://www.czso.cz/documents/10180/165397788/31003422.pdf/7e1fd9c7-e5fb-4155-9e88-882ba3cb1712?version=1.5" TargetMode="External"/><Relationship Id="rId25" Type="http://schemas.openxmlformats.org/officeDocument/2006/relationships/hyperlink" Target="https://www.czso.cz/documents/10180/189719223/1600212319.pdf/ad50dc65-14fa-47eb-a09c-c55b273a3714?version=1.1" TargetMode="External"/><Relationship Id="rId33" Type="http://schemas.openxmlformats.org/officeDocument/2006/relationships/hyperlink" Target="https://ec.europa.eu/eurostat/statistics-explained/index.php?title=File:Total_general_government_expenditure_on_social_protection,_2021_(%25_of_GDP).png" TargetMode="External"/><Relationship Id="rId38" Type="http://schemas.openxmlformats.org/officeDocument/2006/relationships/hyperlink" Target="https://www.fss.muni.cz/vyzkum/publikace/prehled/2242717" TargetMode="External"/><Relationship Id="rId2" Type="http://schemas.openxmlformats.org/officeDocument/2006/relationships/hyperlink" Target="https://op.europa.eu/en/publication-detail/-/publication/842d8006-c3b3-11ed-a05c-01aa75ed71a1/language-en/format-PDF/source-283143938" TargetMode="External"/><Relationship Id="rId16" Type="http://schemas.openxmlformats.org/officeDocument/2006/relationships/hyperlink" Target="https://www.czso.cz/documents/10180/165397788/31003422.pdf/7e1fd9c7-e5fb-4155-9e88-882ba3cb1712?version=1.5" TargetMode="External"/><Relationship Id="rId20" Type="http://schemas.openxmlformats.org/officeDocument/2006/relationships/hyperlink" Target="https://www.mpsv.cz/documents/20142/4895582/Informace+o+vyplacen%C3%BDch+d%C3%A1vk%C3%A1ch+v+b%C5%99eznu+2023.pdf/404236f6-9fa0-280b-a063-f1c57c3f7d38" TargetMode="External"/><Relationship Id="rId29" Type="http://schemas.openxmlformats.org/officeDocument/2006/relationships/hyperlink" Target="https://www.czso.cz/documents/10180/189719223/1600212304d.pdf/44925267-489c-4700-9f5c-09bab45c987d?version=1.2" TargetMode="External"/><Relationship Id="rId1" Type="http://schemas.openxmlformats.org/officeDocument/2006/relationships/hyperlink" Target="https://data.consilium.europa.eu/doc/document/ST-9145-2021-INIT/cs/pdf" TargetMode="External"/><Relationship Id="rId6" Type="http://schemas.openxmlformats.org/officeDocument/2006/relationships/hyperlink" Target="http://socialnibydleni.mpsv.cz/cs/novinky/358-koncepce-bydleni-cr-2021-mmr" TargetMode="External"/><Relationship Id="rId11" Type="http://schemas.openxmlformats.org/officeDocument/2006/relationships/hyperlink" Target="https://www.mpsv.cz/narodni-program-pripravy-na-starnuti-na-obdobi-let-2003-az-2007" TargetMode="External"/><Relationship Id="rId24" Type="http://schemas.openxmlformats.org/officeDocument/2006/relationships/hyperlink" Target="https://data.irozhlas.cz/zivot/ekonomicke-dopady/" TargetMode="External"/><Relationship Id="rId32" Type="http://schemas.openxmlformats.org/officeDocument/2006/relationships/hyperlink" Target="https://ec.europa.eu/eurostat/statistics-explained/index.php?title=File:Total_general_government_expenditure_on_social_protection,_2021_(%25_of_GDP).png" TargetMode="External"/><Relationship Id="rId37" Type="http://schemas.openxmlformats.org/officeDocument/2006/relationships/hyperlink" Target="https://www.fss.muni.cz/vyzkum/publikace/prehled/2242717" TargetMode="External"/><Relationship Id="rId40" Type="http://schemas.openxmlformats.org/officeDocument/2006/relationships/hyperlink" Target="https://www.czso.cz/documents/10180/45948568/130055170808.pdf/f5b38b65-0" TargetMode="External"/><Relationship Id="rId5" Type="http://schemas.openxmlformats.org/officeDocument/2006/relationships/hyperlink" Target="https://www.mpsv.cz/documents/20142/577769/NSRSS.pdf/" TargetMode="External"/><Relationship Id="rId15" Type="http://schemas.openxmlformats.org/officeDocument/2006/relationships/hyperlink" Target="https://www.czso.cz/csu/czso/umrtnost-se-loni-vratila-na-predpandemickou-uroven" TargetMode="External"/><Relationship Id="rId23" Type="http://schemas.openxmlformats.org/officeDocument/2006/relationships/hyperlink" Target="https://www.czso.cz/csu/czso/prace_a_mzdy_prace" TargetMode="External"/><Relationship Id="rId28" Type="http://schemas.openxmlformats.org/officeDocument/2006/relationships/hyperlink" Target="https://data.irozhlas.cz/zivot/vydaje-procenta/" TargetMode="External"/><Relationship Id="rId36" Type="http://schemas.openxmlformats.org/officeDocument/2006/relationships/hyperlink" Target="https://www.czso.cz/csu/czso/prijmy-a-zivotni-podminky-domacnosti-7isum3msez" TargetMode="External"/><Relationship Id="rId10" Type="http://schemas.openxmlformats.org/officeDocument/2006/relationships/hyperlink" Target="https://www.mpsv.cz/documents/20142/1357303/SRPZ_2030.pdf/148b2fc5-d7a6-f9c7-cc50-13b52a62e86e" TargetMode="External"/><Relationship Id="rId19" Type="http://schemas.openxmlformats.org/officeDocument/2006/relationships/hyperlink" Target="https://www.czso.cz/csu/czso/projekce-obyvatelstva-ceske-republiky-do-roku-2100-n-fu4s64b8h4" TargetMode="External"/><Relationship Id="rId31" Type="http://schemas.openxmlformats.org/officeDocument/2006/relationships/hyperlink" Target="https://ec.europa.eu/eurostat/statistics-explained/index.php/Healthy_life_years_statistics" TargetMode="External"/><Relationship Id="rId4" Type="http://schemas.openxmlformats.org/officeDocument/2006/relationships/hyperlink" Target="https://www.mzcr.cz/vlada-schvalila-strategicky-ramec-zdravi-2030-2/" TargetMode="External"/><Relationship Id="rId9" Type="http://schemas.openxmlformats.org/officeDocument/2006/relationships/hyperlink" Target="https://www.dataplan.info/img_upload/7bdb1584e3b8a53d337518d988763f8d/akcni-plan-prevence-domaciho-a-genderove-podmineneho-nasili-na-leta-2019-2022.pdf" TargetMode="External"/><Relationship Id="rId14" Type="http://schemas.openxmlformats.org/officeDocument/2006/relationships/hyperlink" Target="https://www.czso.cz/csu/czso/cri/pohyb-obyvatelstva-rok-2022" TargetMode="External"/><Relationship Id="rId22" Type="http://schemas.openxmlformats.org/officeDocument/2006/relationships/hyperlink" Target="https://www.cssz.cz/cz/duchodove-pojisteni/davky/starobni-duchody.htm" TargetMode="External"/><Relationship Id="rId27" Type="http://schemas.openxmlformats.org/officeDocument/2006/relationships/hyperlink" Target="https://data.irozhlas.cz/zivot/vydaje-procenta/" TargetMode="External"/><Relationship Id="rId30" Type="http://schemas.openxmlformats.org/officeDocument/2006/relationships/hyperlink" Target="https://www.mpsv.cz/documents/20142/2867337/Informace+o+vyplacen%C3%BDch+d%C3%A1vk%C3%A1ch+v+prosinci+2022.pdf/7f66394e-5192-e6a2-b607-eb767af0df8d" TargetMode="External"/><Relationship Id="rId35" Type="http://schemas.openxmlformats.org/officeDocument/2006/relationships/hyperlink" Target="http://www.fdv.cz/data/original/fotografie/zaverecna-zprava_neformalni-pecujici_fin.pdf" TargetMode="External"/><Relationship Id="rId8" Type="http://schemas.openxmlformats.org/officeDocument/2006/relationships/hyperlink" Target="https://www.vlada.cz/assets/ppov/rovne-prilezitosti-zen-a-muzu/Aktuality/Strategie_rovnosti_zen_a_muzu.pdf" TargetMode="External"/><Relationship Id="rId3" Type="http://schemas.openxmlformats.org/officeDocument/2006/relationships/hyperlink" Target="https://www.cr2030.cz/wp-content/uploads/2023/01/Strategicky%CC%81-ra%CC%81mec-C%CC%8CR-203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aamy.cz/2022/11/24/covid-urychlil-rust-nakladu-na-zdrav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List1!$A$2:$A$15</c:f>
              <c:numCache>
                <c:formatCode>General</c:formatCode>
                <c:ptCount val="14"/>
                <c:pt idx="0">
                  <c:v>2000</c:v>
                </c:pt>
                <c:pt idx="1">
                  <c:v>2005</c:v>
                </c:pt>
                <c:pt idx="2">
                  <c:v>2010</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List1!$B$2:$B$15</c:f>
              <c:numCache>
                <c:formatCode>General</c:formatCode>
                <c:ptCount val="14"/>
                <c:pt idx="0">
                  <c:v>71.599999999999994</c:v>
                </c:pt>
                <c:pt idx="1">
                  <c:v>72.900000000000006</c:v>
                </c:pt>
                <c:pt idx="2">
                  <c:v>74.400000000000006</c:v>
                </c:pt>
                <c:pt idx="3">
                  <c:v>75</c:v>
                </c:pt>
                <c:pt idx="4">
                  <c:v>75.2</c:v>
                </c:pt>
                <c:pt idx="5">
                  <c:v>75.7</c:v>
                </c:pt>
                <c:pt idx="6">
                  <c:v>75.599999999999994</c:v>
                </c:pt>
                <c:pt idx="7">
                  <c:v>76</c:v>
                </c:pt>
                <c:pt idx="8">
                  <c:v>76.099999999999994</c:v>
                </c:pt>
                <c:pt idx="9">
                  <c:v>76.099999999999994</c:v>
                </c:pt>
                <c:pt idx="10">
                  <c:v>76.3</c:v>
                </c:pt>
                <c:pt idx="11">
                  <c:v>75.3</c:v>
                </c:pt>
                <c:pt idx="12">
                  <c:v>74.099999999999994</c:v>
                </c:pt>
                <c:pt idx="13">
                  <c:v>76.099999999999994</c:v>
                </c:pt>
              </c:numCache>
            </c:numRef>
          </c:val>
          <c:extLst>
            <c:ext xmlns:c16="http://schemas.microsoft.com/office/drawing/2014/chart" uri="{C3380CC4-5D6E-409C-BE32-E72D297353CC}">
              <c16:uniqueId val="{00000000-2484-4C31-B94A-3AFBF700F72D}"/>
            </c:ext>
          </c:extLst>
        </c:ser>
        <c:ser>
          <c:idx val="1"/>
          <c:order val="1"/>
          <c:tx>
            <c:strRef>
              <c:f>List1!$C$1</c:f>
              <c:strCache>
                <c:ptCount val="1"/>
                <c:pt idx="0">
                  <c:v>ženy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List1!$A$2:$A$15</c:f>
              <c:numCache>
                <c:formatCode>General</c:formatCode>
                <c:ptCount val="14"/>
                <c:pt idx="0">
                  <c:v>2000</c:v>
                </c:pt>
                <c:pt idx="1">
                  <c:v>2005</c:v>
                </c:pt>
                <c:pt idx="2">
                  <c:v>2010</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List1!$C$2:$C$15</c:f>
              <c:numCache>
                <c:formatCode>General</c:formatCode>
                <c:ptCount val="14"/>
                <c:pt idx="0">
                  <c:v>78.400000000000006</c:v>
                </c:pt>
                <c:pt idx="1">
                  <c:v>79.3</c:v>
                </c:pt>
                <c:pt idx="2">
                  <c:v>80.599999999999994</c:v>
                </c:pt>
                <c:pt idx="3">
                  <c:v>81</c:v>
                </c:pt>
                <c:pt idx="4">
                  <c:v>81.2</c:v>
                </c:pt>
                <c:pt idx="5">
                  <c:v>81.7</c:v>
                </c:pt>
                <c:pt idx="6">
                  <c:v>81.5</c:v>
                </c:pt>
                <c:pt idx="7">
                  <c:v>81.8</c:v>
                </c:pt>
                <c:pt idx="8">
                  <c:v>82</c:v>
                </c:pt>
                <c:pt idx="9">
                  <c:v>81.900000000000006</c:v>
                </c:pt>
                <c:pt idx="10">
                  <c:v>82.1</c:v>
                </c:pt>
                <c:pt idx="11">
                  <c:v>81.3</c:v>
                </c:pt>
                <c:pt idx="12">
                  <c:v>80.5</c:v>
                </c:pt>
                <c:pt idx="13">
                  <c:v>82</c:v>
                </c:pt>
              </c:numCache>
            </c:numRef>
          </c:val>
          <c:extLst>
            <c:ext xmlns:c16="http://schemas.microsoft.com/office/drawing/2014/chart" uri="{C3380CC4-5D6E-409C-BE32-E72D297353CC}">
              <c16:uniqueId val="{00000001-2484-4C31-B94A-3AFBF700F72D}"/>
            </c:ext>
          </c:extLst>
        </c:ser>
        <c:dLbls>
          <c:dLblPos val="outEnd"/>
          <c:showLegendKey val="0"/>
          <c:showVal val="1"/>
          <c:showCatName val="0"/>
          <c:showSerName val="0"/>
          <c:showPercent val="0"/>
          <c:showBubbleSize val="0"/>
        </c:dLbls>
        <c:gapWidth val="219"/>
        <c:overlap val="-27"/>
        <c:axId val="235960047"/>
        <c:axId val="235961295"/>
      </c:barChart>
      <c:catAx>
        <c:axId val="235960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235961295"/>
        <c:crosses val="autoZero"/>
        <c:auto val="1"/>
        <c:lblAlgn val="ctr"/>
        <c:lblOffset val="100"/>
        <c:noMultiLvlLbl val="0"/>
      </c:catAx>
      <c:valAx>
        <c:axId val="235961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cs-CZ" b="1"/>
                  <a:t>Věk</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235960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73CC0F38EF344887AD2FA8B40D1869" ma:contentTypeVersion="2" ma:contentTypeDescription="Vytvoří nový dokument" ma:contentTypeScope="" ma:versionID="508202890db85de7300b82f4eb9ac2a6">
  <xsd:schema xmlns:xsd="http://www.w3.org/2001/XMLSchema" xmlns:xs="http://www.w3.org/2001/XMLSchema" xmlns:p="http://schemas.microsoft.com/office/2006/metadata/properties" xmlns:ns2="ff1391f1-c7bb-4365-9b82-c0a62fce7e52" targetNamespace="http://schemas.microsoft.com/office/2006/metadata/properties" ma:root="true" ma:fieldsID="80868f50676a4639e575297c1b313eba" ns2:_="">
    <xsd:import namespace="ff1391f1-c7bb-4365-9b82-c0a62fce7e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391f1-c7bb-4365-9b82-c0a62fce7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20D3A-C360-4DCC-BC04-6AFD88DA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391f1-c7bb-4365-9b82-c0a62fce7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C348C-60D9-4094-9E74-E0DF6D0279EC}">
  <ds:schemaRefs>
    <ds:schemaRef ds:uri="http://schemas.openxmlformats.org/officeDocument/2006/bibliography"/>
  </ds:schemaRefs>
</ds:datastoreItem>
</file>

<file path=customXml/itemProps3.xml><?xml version="1.0" encoding="utf-8"?>
<ds:datastoreItem xmlns:ds="http://schemas.openxmlformats.org/officeDocument/2006/customXml" ds:itemID="{43ADCADB-C5B0-4B13-A7B4-A7FFC3027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48BC7-7840-4EE1-98E1-54B39C34E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7726</Words>
  <Characters>45589</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Kňapová Kateřina Mgr. (MPSV)</dc:creator>
  <cp:lastModifiedBy>Řeháková Fučíková Jana Mgr. (MPSV)</cp:lastModifiedBy>
  <cp:revision>3</cp:revision>
  <cp:lastPrinted>2023-04-03T13:15:00Z</cp:lastPrinted>
  <dcterms:created xsi:type="dcterms:W3CDTF">2023-06-16T15:28:00Z</dcterms:created>
  <dcterms:modified xsi:type="dcterms:W3CDTF">2023-06-16T15:33:00Z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0x0101001373CC0F38EF344887AD2FA8B40D1869</vt:lpwstr>
  </property>
</Properties>
</file>