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8BFF" w14:textId="77777777" w:rsidR="00DE53E8" w:rsidRPr="004F289F" w:rsidRDefault="00C343C6" w:rsidP="0034560F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289F">
        <w:rPr>
          <w:rFonts w:ascii="Times New Roman" w:hAnsi="Times New Roman" w:cs="Times New Roman"/>
          <w:b/>
          <w:sz w:val="24"/>
          <w:szCs w:val="24"/>
        </w:rPr>
        <w:t>IV</w:t>
      </w:r>
      <w:r w:rsidR="00DE53E8" w:rsidRPr="004F289F">
        <w:rPr>
          <w:rFonts w:ascii="Times New Roman" w:hAnsi="Times New Roman" w:cs="Times New Roman"/>
          <w:b/>
          <w:sz w:val="24"/>
          <w:szCs w:val="24"/>
        </w:rPr>
        <w:t>.</w:t>
      </w:r>
    </w:p>
    <w:p w14:paraId="29A99BB1" w14:textId="77777777" w:rsidR="00CA1270" w:rsidRPr="004F289F" w:rsidRDefault="00667C52" w:rsidP="0034560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F">
        <w:rPr>
          <w:rFonts w:ascii="Times New Roman" w:hAnsi="Times New Roman" w:cs="Times New Roman"/>
          <w:b/>
          <w:sz w:val="24"/>
          <w:szCs w:val="24"/>
        </w:rPr>
        <w:t>O</w:t>
      </w:r>
      <w:r w:rsidR="00CA1270" w:rsidRPr="004F289F">
        <w:rPr>
          <w:rFonts w:ascii="Times New Roman" w:hAnsi="Times New Roman" w:cs="Times New Roman"/>
          <w:b/>
          <w:sz w:val="24"/>
          <w:szCs w:val="24"/>
        </w:rPr>
        <w:t>důvodnění</w:t>
      </w:r>
    </w:p>
    <w:p w14:paraId="6AC697E9" w14:textId="77777777" w:rsidR="009D23B0" w:rsidRPr="004F289F" w:rsidRDefault="009D23B0" w:rsidP="009F6DB0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289F">
        <w:rPr>
          <w:rFonts w:ascii="Times New Roman" w:hAnsi="Times New Roman"/>
          <w:b/>
          <w:sz w:val="24"/>
          <w:szCs w:val="24"/>
          <w:u w:val="single"/>
        </w:rPr>
        <w:t>Obecná část</w:t>
      </w:r>
    </w:p>
    <w:p w14:paraId="31B96A09" w14:textId="77777777" w:rsidR="009D23B0" w:rsidRPr="004F289F" w:rsidRDefault="00C66D47" w:rsidP="009F6DB0">
      <w:pPr>
        <w:tabs>
          <w:tab w:val="left" w:pos="284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4F289F">
        <w:rPr>
          <w:rFonts w:ascii="Times New Roman" w:hAnsi="Times New Roman"/>
          <w:b/>
          <w:iCs/>
          <w:sz w:val="24"/>
          <w:szCs w:val="24"/>
        </w:rPr>
        <w:t>Vysvětlení nezbytnosti navrhované právní úpravy, odůvodnění jejích hlavních principů</w:t>
      </w:r>
    </w:p>
    <w:p w14:paraId="3125A872" w14:textId="48F7539F" w:rsidR="002B3304" w:rsidRPr="004F289F" w:rsidRDefault="002B3304" w:rsidP="009F6D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371127"/>
      <w:r w:rsidRPr="004F289F">
        <w:rPr>
          <w:rFonts w:ascii="Times New Roman" w:hAnsi="Times New Roman" w:cs="Times New Roman"/>
          <w:sz w:val="24"/>
          <w:szCs w:val="24"/>
        </w:rPr>
        <w:t>Příspěvek na bydlení je poskytovaný ze systému dávek státní sociální podpory podle § 24 a násl. zákona č.</w:t>
      </w:r>
      <w:r w:rsidR="002479CA">
        <w:rPr>
          <w:rFonts w:ascii="Times New Roman" w:hAnsi="Times New Roman" w:cs="Times New Roman"/>
          <w:sz w:val="24"/>
          <w:szCs w:val="24"/>
        </w:rPr>
        <w:t> </w:t>
      </w:r>
      <w:r w:rsidRPr="004F289F">
        <w:rPr>
          <w:rFonts w:ascii="Times New Roman" w:hAnsi="Times New Roman" w:cs="Times New Roman"/>
          <w:sz w:val="24"/>
          <w:szCs w:val="24"/>
        </w:rPr>
        <w:t>117/1995 Sb., o státní sociální podpoře, ve znění pozdějších předpisů</w:t>
      </w:r>
      <w:r w:rsidR="00C344EB">
        <w:rPr>
          <w:rFonts w:ascii="Times New Roman" w:hAnsi="Times New Roman" w:cs="Times New Roman"/>
          <w:sz w:val="24"/>
          <w:szCs w:val="24"/>
        </w:rPr>
        <w:t xml:space="preserve"> (dále jen „zákon o státní sociální podpoře“)</w:t>
      </w:r>
      <w:r w:rsidRPr="004F289F">
        <w:rPr>
          <w:rFonts w:ascii="Times New Roman" w:hAnsi="Times New Roman" w:cs="Times New Roman"/>
          <w:sz w:val="24"/>
          <w:szCs w:val="24"/>
        </w:rPr>
        <w:t>. Nárok na tento příspěvek a jeho výše jsou závislé na výši rozhodného příjmu a na výši nákladů na bydlení. Náklady na bydlení se porovnávají s normativními náklady na bydlení danými zákonem. Vzhledem k tomu, že výše nákladů na</w:t>
      </w:r>
      <w:r w:rsidR="004866D6">
        <w:rPr>
          <w:rFonts w:ascii="Times New Roman" w:hAnsi="Times New Roman" w:cs="Times New Roman"/>
          <w:sz w:val="24"/>
          <w:szCs w:val="24"/>
        </w:rPr>
        <w:t> </w:t>
      </w:r>
      <w:r w:rsidRPr="004F289F">
        <w:rPr>
          <w:rFonts w:ascii="Times New Roman" w:hAnsi="Times New Roman" w:cs="Times New Roman"/>
          <w:sz w:val="24"/>
          <w:szCs w:val="24"/>
        </w:rPr>
        <w:t xml:space="preserve">bydlení se průběhem času mění, je vláda v § 28 </w:t>
      </w:r>
      <w:r w:rsidR="00704E71">
        <w:rPr>
          <w:rFonts w:ascii="Times New Roman" w:hAnsi="Times New Roman" w:cs="Times New Roman"/>
          <w:sz w:val="24"/>
          <w:szCs w:val="24"/>
        </w:rPr>
        <w:t>odst.</w:t>
      </w:r>
      <w:r w:rsidR="004866D6">
        <w:rPr>
          <w:rFonts w:ascii="Times New Roman" w:hAnsi="Times New Roman" w:cs="Times New Roman"/>
          <w:sz w:val="24"/>
          <w:szCs w:val="24"/>
        </w:rPr>
        <w:t> </w:t>
      </w:r>
      <w:r w:rsidR="00704E71">
        <w:rPr>
          <w:rFonts w:ascii="Times New Roman" w:hAnsi="Times New Roman" w:cs="Times New Roman"/>
          <w:sz w:val="24"/>
          <w:szCs w:val="24"/>
        </w:rPr>
        <w:t xml:space="preserve">1 </w:t>
      </w:r>
      <w:r w:rsidRPr="004F289F">
        <w:rPr>
          <w:rFonts w:ascii="Times New Roman" w:hAnsi="Times New Roman" w:cs="Times New Roman"/>
          <w:sz w:val="24"/>
          <w:szCs w:val="24"/>
        </w:rPr>
        <w:t xml:space="preserve">zákona o státní sociální podpoře zmocněna stanovit nařízením vlády vždy k 1. lednu pro období do 31. prosince téhož roku výši </w:t>
      </w:r>
    </w:p>
    <w:p w14:paraId="0CBBFAB4" w14:textId="1F478B3B" w:rsidR="002B3304" w:rsidRPr="004F289F" w:rsidRDefault="002B3304" w:rsidP="009F6DB0">
      <w:pPr>
        <w:numPr>
          <w:ilvl w:val="0"/>
          <w:numId w:val="26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89F">
        <w:rPr>
          <w:rFonts w:ascii="Times New Roman" w:hAnsi="Times New Roman" w:cs="Times New Roman"/>
          <w:sz w:val="24"/>
          <w:szCs w:val="24"/>
        </w:rPr>
        <w:t>nákladů srovnatelných s nájemným,</w:t>
      </w:r>
    </w:p>
    <w:p w14:paraId="228D8457" w14:textId="77777777" w:rsidR="002B3304" w:rsidRPr="004F289F" w:rsidRDefault="002B3304" w:rsidP="009F6DB0">
      <w:pPr>
        <w:numPr>
          <w:ilvl w:val="0"/>
          <w:numId w:val="26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89F">
        <w:rPr>
          <w:rFonts w:ascii="Times New Roman" w:hAnsi="Times New Roman" w:cs="Times New Roman"/>
          <w:sz w:val="24"/>
          <w:szCs w:val="24"/>
        </w:rPr>
        <w:t xml:space="preserve">částek, které se započítávají za pevná paliva, </w:t>
      </w:r>
    </w:p>
    <w:p w14:paraId="2A1AB2E2" w14:textId="77777777" w:rsidR="002B3304" w:rsidRPr="004F289F" w:rsidRDefault="002B3304" w:rsidP="009F6DB0">
      <w:pPr>
        <w:numPr>
          <w:ilvl w:val="0"/>
          <w:numId w:val="26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89F">
        <w:rPr>
          <w:rFonts w:ascii="Times New Roman" w:hAnsi="Times New Roman" w:cs="Times New Roman"/>
          <w:sz w:val="24"/>
          <w:szCs w:val="24"/>
        </w:rPr>
        <w:t>částek normativních nákladů na bydlení.</w:t>
      </w:r>
    </w:p>
    <w:p w14:paraId="5D4D4132" w14:textId="2C3145F1" w:rsidR="002B3304" w:rsidRPr="004F289F" w:rsidRDefault="002B3304" w:rsidP="009F6DB0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89F">
        <w:rPr>
          <w:rFonts w:ascii="Times New Roman" w:hAnsi="Times New Roman" w:cs="Times New Roman"/>
          <w:sz w:val="24"/>
          <w:szCs w:val="24"/>
        </w:rPr>
        <w:t xml:space="preserve">Tato právní úprava umožňuje každoročně stanovit výši nákladů na bydlení a normativních nákladů na bydlení tak, aby jejich výše a jejich dopad na příspěvek na bydlení odpovídaly </w:t>
      </w:r>
      <w:r w:rsidR="00704E71">
        <w:rPr>
          <w:rFonts w:ascii="Times New Roman" w:hAnsi="Times New Roman" w:cs="Times New Roman"/>
          <w:sz w:val="24"/>
          <w:szCs w:val="24"/>
        </w:rPr>
        <w:t>aktuálním nákladům na bydlení, popř. cenám v oblasti bydlení</w:t>
      </w:r>
      <w:r w:rsidRPr="004F289F">
        <w:rPr>
          <w:rFonts w:ascii="Times New Roman" w:hAnsi="Times New Roman" w:cs="Times New Roman"/>
          <w:sz w:val="24"/>
          <w:szCs w:val="24"/>
        </w:rPr>
        <w:t>.</w:t>
      </w:r>
    </w:p>
    <w:p w14:paraId="77CB04BC" w14:textId="37EC9182" w:rsidR="002B3304" w:rsidRPr="004F289F" w:rsidRDefault="002B3304" w:rsidP="009F6D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371176"/>
      <w:bookmarkEnd w:id="0"/>
      <w:r w:rsidRPr="004F289F">
        <w:rPr>
          <w:rFonts w:ascii="Times New Roman" w:hAnsi="Times New Roman" w:cs="Times New Roman"/>
          <w:sz w:val="24"/>
          <w:szCs w:val="24"/>
        </w:rPr>
        <w:t xml:space="preserve">Od normativních nákladů na bydlení, stanovených pro bydlení v bytech užívaných na základě nájemní smlouvy, se zároveň odvozuje i maximální hranice uznatelných </w:t>
      </w:r>
      <w:r w:rsidRPr="004F289F">
        <w:rPr>
          <w:rFonts w:ascii="Times New Roman" w:hAnsi="Times New Roman" w:cs="Times New Roman"/>
          <w:bCs/>
          <w:sz w:val="24"/>
          <w:szCs w:val="24"/>
        </w:rPr>
        <w:t>odůvodněných nákladů na bydlení u jiné než nájemní, družstevní nebo vlastnické formy bydlení</w:t>
      </w:r>
      <w:r w:rsidR="006941A8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4F289F">
        <w:rPr>
          <w:rFonts w:ascii="Times New Roman" w:hAnsi="Times New Roman" w:cs="Times New Roman"/>
          <w:bCs/>
          <w:sz w:val="24"/>
          <w:szCs w:val="24"/>
        </w:rPr>
        <w:t>podle</w:t>
      </w:r>
      <w:r w:rsidR="004866D6">
        <w:rPr>
          <w:rFonts w:ascii="Times New Roman" w:hAnsi="Times New Roman" w:cs="Times New Roman"/>
          <w:bCs/>
          <w:sz w:val="24"/>
          <w:szCs w:val="24"/>
        </w:rPr>
        <w:t> </w:t>
      </w:r>
      <w:r w:rsidRPr="004F289F">
        <w:rPr>
          <w:rFonts w:ascii="Times New Roman" w:hAnsi="Times New Roman" w:cs="Times New Roman"/>
          <w:bCs/>
          <w:sz w:val="24"/>
          <w:szCs w:val="24"/>
        </w:rPr>
        <w:t>§ 34 zákona č. 111/2006</w:t>
      </w:r>
      <w:r w:rsidR="002479CA">
        <w:rPr>
          <w:rFonts w:ascii="Times New Roman" w:hAnsi="Times New Roman" w:cs="Times New Roman"/>
          <w:bCs/>
          <w:sz w:val="24"/>
          <w:szCs w:val="24"/>
        </w:rPr>
        <w:t> </w:t>
      </w:r>
      <w:r w:rsidRPr="004F289F">
        <w:rPr>
          <w:rFonts w:ascii="Times New Roman" w:hAnsi="Times New Roman" w:cs="Times New Roman"/>
          <w:bCs/>
          <w:sz w:val="24"/>
          <w:szCs w:val="24"/>
        </w:rPr>
        <w:t>Sb., o pomoci v hmotné nouzi</w:t>
      </w:r>
      <w:r w:rsidRPr="004F289F">
        <w:rPr>
          <w:rFonts w:ascii="Times New Roman" w:hAnsi="Times New Roman" w:cs="Times New Roman"/>
          <w:sz w:val="24"/>
          <w:szCs w:val="24"/>
        </w:rPr>
        <w:t>, ve znění pozdějších předpisů.</w:t>
      </w:r>
    </w:p>
    <w:bookmarkEnd w:id="1"/>
    <w:p w14:paraId="019284B4" w14:textId="167C96F4" w:rsidR="00A823BB" w:rsidRPr="004F289F" w:rsidRDefault="00A823BB" w:rsidP="009F6DB0">
      <w:pPr>
        <w:tabs>
          <w:tab w:val="left" w:pos="284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4F289F">
        <w:rPr>
          <w:rFonts w:ascii="Times New Roman" w:hAnsi="Times New Roman"/>
          <w:b/>
          <w:bCs/>
          <w:sz w:val="24"/>
          <w:szCs w:val="24"/>
        </w:rPr>
        <w:t xml:space="preserve">Zhodnocení souladu navrhované právní úpravy se zákonem, k jehož provedení </w:t>
      </w:r>
      <w:r w:rsidR="006941A8">
        <w:rPr>
          <w:rFonts w:ascii="Times New Roman" w:hAnsi="Times New Roman"/>
          <w:b/>
          <w:bCs/>
          <w:sz w:val="24"/>
          <w:szCs w:val="24"/>
        </w:rPr>
        <w:br/>
      </w:r>
      <w:r w:rsidRPr="004F289F">
        <w:rPr>
          <w:rFonts w:ascii="Times New Roman" w:hAnsi="Times New Roman"/>
          <w:b/>
          <w:bCs/>
          <w:sz w:val="24"/>
          <w:szCs w:val="24"/>
        </w:rPr>
        <w:t>je navržena, včetně souladu se zákonným zmocněním</w:t>
      </w:r>
    </w:p>
    <w:p w14:paraId="6CF99733" w14:textId="78B2EE6E" w:rsidR="00302D6C" w:rsidRPr="004F289F" w:rsidRDefault="00A823BB" w:rsidP="009F6D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89F">
        <w:rPr>
          <w:rFonts w:ascii="Times New Roman" w:hAnsi="Times New Roman" w:cs="Times New Roman"/>
          <w:sz w:val="24"/>
          <w:szCs w:val="24"/>
        </w:rPr>
        <w:t>Předložený návrh nařízení vlády</w:t>
      </w:r>
      <w:r w:rsidR="00A536EE">
        <w:rPr>
          <w:rFonts w:ascii="Times New Roman" w:hAnsi="Times New Roman" w:cs="Times New Roman"/>
          <w:sz w:val="24"/>
          <w:szCs w:val="24"/>
        </w:rPr>
        <w:t xml:space="preserve"> </w:t>
      </w:r>
      <w:r w:rsidRPr="004F289F">
        <w:rPr>
          <w:rFonts w:ascii="Times New Roman" w:hAnsi="Times New Roman" w:cs="Times New Roman"/>
          <w:sz w:val="24"/>
          <w:szCs w:val="24"/>
        </w:rPr>
        <w:t xml:space="preserve">je v souladu se zákonem </w:t>
      </w:r>
      <w:r w:rsidR="00302D6C" w:rsidRPr="004F289F">
        <w:rPr>
          <w:rFonts w:ascii="Times New Roman" w:hAnsi="Times New Roman" w:cs="Times New Roman"/>
          <w:sz w:val="24"/>
          <w:szCs w:val="24"/>
        </w:rPr>
        <w:t>o státní sociální podpoře</w:t>
      </w:r>
      <w:r w:rsidR="006941A8">
        <w:rPr>
          <w:rFonts w:ascii="Times New Roman" w:hAnsi="Times New Roman" w:cs="Times New Roman"/>
          <w:sz w:val="24"/>
          <w:szCs w:val="24"/>
        </w:rPr>
        <w:br/>
      </w:r>
      <w:r w:rsidR="00374280" w:rsidRPr="004F289F">
        <w:rPr>
          <w:rFonts w:ascii="Times New Roman" w:hAnsi="Times New Roman" w:cs="Times New Roman"/>
          <w:sz w:val="24"/>
          <w:szCs w:val="24"/>
        </w:rPr>
        <w:t>a</w:t>
      </w:r>
      <w:r w:rsidRPr="004F289F">
        <w:rPr>
          <w:rFonts w:ascii="Times New Roman" w:hAnsi="Times New Roman" w:cs="Times New Roman"/>
          <w:sz w:val="24"/>
          <w:szCs w:val="24"/>
        </w:rPr>
        <w:t xml:space="preserve"> se zákonným zmocněním uvedeným v § 28</w:t>
      </w:r>
      <w:r w:rsidR="004866D6">
        <w:rPr>
          <w:rFonts w:ascii="Times New Roman" w:hAnsi="Times New Roman" w:cs="Times New Roman"/>
          <w:sz w:val="24"/>
          <w:szCs w:val="24"/>
        </w:rPr>
        <w:t> </w:t>
      </w:r>
      <w:r w:rsidR="00704E71">
        <w:rPr>
          <w:rFonts w:ascii="Times New Roman" w:hAnsi="Times New Roman" w:cs="Times New Roman"/>
          <w:sz w:val="24"/>
          <w:szCs w:val="24"/>
        </w:rPr>
        <w:t>odst.</w:t>
      </w:r>
      <w:r w:rsidR="004866D6">
        <w:rPr>
          <w:rFonts w:ascii="Times New Roman" w:hAnsi="Times New Roman" w:cs="Times New Roman"/>
          <w:sz w:val="24"/>
          <w:szCs w:val="24"/>
        </w:rPr>
        <w:t> </w:t>
      </w:r>
      <w:r w:rsidR="00704E71">
        <w:rPr>
          <w:rFonts w:ascii="Times New Roman" w:hAnsi="Times New Roman" w:cs="Times New Roman"/>
          <w:sz w:val="24"/>
          <w:szCs w:val="24"/>
        </w:rPr>
        <w:t xml:space="preserve">1 </w:t>
      </w:r>
      <w:r w:rsidRPr="004F289F">
        <w:rPr>
          <w:rFonts w:ascii="Times New Roman" w:hAnsi="Times New Roman" w:cs="Times New Roman"/>
          <w:sz w:val="24"/>
          <w:szCs w:val="24"/>
        </w:rPr>
        <w:t>tohoto zákona.</w:t>
      </w:r>
    </w:p>
    <w:p w14:paraId="7BBE70E5" w14:textId="77777777" w:rsidR="00C66D47" w:rsidRPr="004F289F" w:rsidRDefault="00C66D47" w:rsidP="009F6DB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89F">
        <w:rPr>
          <w:rFonts w:ascii="Times New Roman" w:hAnsi="Times New Roman" w:cs="Times New Roman"/>
          <w:b/>
          <w:sz w:val="24"/>
          <w:szCs w:val="24"/>
        </w:rPr>
        <w:t>Zhodnocení souladu navrhované právní úpravy s předpisy Evropské unie</w:t>
      </w:r>
    </w:p>
    <w:p w14:paraId="53FDF1BC" w14:textId="77777777" w:rsidR="002B3304" w:rsidRPr="004F289F" w:rsidRDefault="00C66D47" w:rsidP="009F6DB0">
      <w:pPr>
        <w:tabs>
          <w:tab w:val="left" w:pos="284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F289F">
        <w:rPr>
          <w:rFonts w:ascii="Times New Roman" w:hAnsi="Times New Roman"/>
          <w:bCs/>
          <w:sz w:val="24"/>
          <w:szCs w:val="24"/>
        </w:rPr>
        <w:t>Předmět právní úpravy není regulován právními předpisy Evropské unie, není proto s právem Evropské unie v rozporu. Příspěvek na bydlení nepodléhá koordinačním pravidlům Evropské unie.</w:t>
      </w:r>
    </w:p>
    <w:p w14:paraId="4B2F82C4" w14:textId="3DCA684F" w:rsidR="00302D6C" w:rsidRPr="00FF5EA2" w:rsidRDefault="00C66D47" w:rsidP="00A536EE">
      <w:pPr>
        <w:spacing w:after="1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F5EA2">
        <w:rPr>
          <w:rFonts w:ascii="Times New Roman" w:hAnsi="Times New Roman"/>
          <w:b/>
          <w:bCs/>
          <w:color w:val="000000" w:themeColor="text1"/>
          <w:sz w:val="24"/>
          <w:szCs w:val="24"/>
        </w:rPr>
        <w:t>Zhodnocení</w:t>
      </w:r>
      <w:r w:rsidR="009D23B0" w:rsidRPr="00FF5E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F5EA2">
        <w:rPr>
          <w:rFonts w:ascii="Times New Roman" w:hAnsi="Times New Roman"/>
          <w:b/>
          <w:bCs/>
          <w:color w:val="000000" w:themeColor="text1"/>
          <w:sz w:val="24"/>
          <w:szCs w:val="24"/>
        </w:rPr>
        <w:t>platného právního stavu a návrh řešení</w:t>
      </w:r>
    </w:p>
    <w:p w14:paraId="1146EF17" w14:textId="0371E1AF" w:rsidR="00C97B8A" w:rsidRPr="00FF5EA2" w:rsidRDefault="00C97B8A" w:rsidP="00C97B8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Úprava normativních nákladů na bydlení je </w:t>
      </w:r>
      <w:r w:rsidR="00FF5EA2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standardně 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realizována prostřednictvím nařízení vlády, nicméně od roku 2022 v rámci řešení dopadů energetické krize došlo k opatřením, v jejichž rámci byly stanoveny částky </w:t>
      </w:r>
      <w:r w:rsidR="00305B15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přímo 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novelizac</w:t>
      </w:r>
      <w:r w:rsidR="00FF5EA2">
        <w:rPr>
          <w:rFonts w:ascii="Times New Roman" w:hAnsi="Times New Roman" w:cs="Times New Roman"/>
          <w:color w:val="000000" w:themeColor="text1"/>
          <w:sz w:val="24"/>
          <w:szCs w:val="24"/>
        </w:rPr>
        <w:t>emi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o státní sociální podpoře.</w:t>
      </w:r>
    </w:p>
    <w:p w14:paraId="694EF2FC" w14:textId="64EA91C6" w:rsidR="00C97B8A" w:rsidRPr="00FF5EA2" w:rsidRDefault="00C97B8A" w:rsidP="00C97B8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Normativní náklady pro rok 2022 byly upraveny </w:t>
      </w:r>
      <w:r w:rsidR="00305B15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ařízením vlády </w:t>
      </w:r>
      <w:r w:rsidR="00FF5EA2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č.</w:t>
      </w:r>
      <w:r w:rsidR="004866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507/2021 Sb., kterým 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 pro účely příspěvku na bydlení ze státní sociální podpory pro rok 2022 stanoví výše nákladů srovnatelných s nájemným, částek, které se započítávají za pevná paliva, a částek normativních nákladů na bydlení. </w:t>
      </w:r>
    </w:p>
    <w:p w14:paraId="14CC9F24" w14:textId="287F4CEC" w:rsidR="00C97B8A" w:rsidRPr="00FF5EA2" w:rsidRDefault="00C97B8A" w:rsidP="00C97B8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 souvislosti s výraznou a přetrvávající energetickou krizí bylo pro rok 2022 přistoupeno k navýšení částek měsíčních normativních nákladů na bydlení stanovených nařízením vlády vydaným podle § 28 pro rok 2022, a to </w:t>
      </w:r>
      <w:r w:rsidR="00305B15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ákonem č.</w:t>
      </w:r>
      <w:r w:rsidR="00305B15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17/2022 Sb., 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kterým se mění zákon č. 117/1995 Sb., o státní sociální podpoře, ve znění pozdějších předpisů, s platností i účinností od 28.</w:t>
      </w:r>
      <w:r w:rsidR="009962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05B15"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ledna 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2022. K navýšení částek došlo vložením nového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§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26a, který upravuje tzv. energetické příplatky (ke stávajícím normativům).</w:t>
      </w:r>
    </w:p>
    <w:p w14:paraId="0901E9A5" w14:textId="1C951A76" w:rsidR="00C97B8A" w:rsidRPr="00FF5EA2" w:rsidRDefault="00C97B8A" w:rsidP="00C97B8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Vzhledem k nepříznivému vývoji cen energií bylo v roce 2022 přistoupeno k dalšímu navýšení částek měsíčních normativních nákladů upravených v § 26a,</w:t>
      </w:r>
      <w:r w:rsidRPr="00FF5EA2" w:rsidDel="007A5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nařízením vlády č.</w:t>
      </w:r>
      <w:r w:rsidR="0099623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289/2022 Sb., kterým se pro účely příspěvku na bydlení ze státní sociální podpory pro období do 31. prosince 2022 zvyšují částky navýšení měsíčních normativních nákladů na bydlení a mění nařízení vlády č.</w:t>
      </w:r>
      <w:r w:rsidR="00FF5EA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595/2006 Sb., o způsobu výpočtu základní částky, která nesmí být sražena povinnému z měsíční mzdy při výkonu rozhodnutí, a o stanovení částky, nad kterou je mzda postižitelná srážkami bez omezení (nařízení o nezabavitelných částkách), ve znění pozdějších předpisů. Uvedené nařízení nabylo účinnosti dne</w:t>
      </w:r>
      <w:r w:rsidR="00305B15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1 října 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2022.</w:t>
      </w:r>
    </w:p>
    <w:p w14:paraId="296D0FF2" w14:textId="166B8F70" w:rsidR="00C97B8A" w:rsidRPr="00FF5EA2" w:rsidRDefault="00C97B8A" w:rsidP="00C97B8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Normativy pro rok 2023 byly (se zohledněním dosavadního vývoje a 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predikce vývoje cen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0C58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trzích energií) upraveny </w:t>
      </w:r>
      <w:r w:rsidR="00305B15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ákonem č. 456/2022 Sb., kterým se mění zákon č. 117/1995 Sb., o</w:t>
      </w:r>
      <w:r w:rsidR="00305B15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státní sociální podpoře, ve znění pozdějších předpisů, zákon č.</w:t>
      </w:r>
      <w:r w:rsidR="0099623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110/2006 Sb., o životním a</w:t>
      </w:r>
      <w:r w:rsidR="000C58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existenčním minimu, ve znění pozdějších předpisů, a zákon č.</w:t>
      </w:r>
      <w:r w:rsidR="0099623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111/2006 Sb., o pomoci v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hmotné nouzi, ve znění pozdějších předpisů.</w:t>
      </w:r>
    </w:p>
    <w:p w14:paraId="580988CF" w14:textId="1E080598" w:rsidR="00C97B8A" w:rsidRPr="00FF5EA2" w:rsidRDefault="00C97B8A" w:rsidP="00C97B8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zatím poslední úpravě normativních nákladů došlo </w:t>
      </w:r>
      <w:r w:rsidR="00305B15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ákonem </w:t>
      </w:r>
      <w:r w:rsidR="000C5806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996239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407/2023 Sb., kterým se mění zákon č.</w:t>
      </w:r>
      <w:r w:rsidR="0099623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117/1995 Sb., o státní sociální podpoře, ve znění pozdějších předpisů, zákon č.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73/2011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Sb., o Úřadu práce České republiky a o změně souvisejících zákonů, ve znění pozdějších předpisů, zákon č.</w:t>
      </w:r>
      <w:r w:rsidR="0099623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111/2006 Sb., o pomoci v hmotné nouzi, ve znění pozdějších předpisů, a některé další zákony. Tímto právním předpisem byl zrušen § 26a, upravující tzv.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energetické příplatky k normativům (navýšení stávajících normativních nákladů o příplatek na energie).</w:t>
      </w:r>
    </w:p>
    <w:p w14:paraId="1B25B67A" w14:textId="538161A3" w:rsidR="00AF7D34" w:rsidRPr="00FF5EA2" w:rsidRDefault="00AF7D34" w:rsidP="00AF7D34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Částky nákladů srovnatelných s nájemným podle §</w:t>
      </w:r>
      <w:r w:rsidR="000C58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 odst. 1 písm. b) a částky, které se započítávají za pevná paliva, uvedené v §</w:t>
      </w:r>
      <w:r w:rsidR="000C58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 odstavci 1 písm. c) a dále částky normativních nákladů na bydlení podle § 26 odst. 1 písm. a) a b) jsou však podle ustanovení § 25 odst. 5 a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</w:t>
      </w:r>
      <w:r w:rsidR="000C58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26 odst. 3 platné pouze pro období od 1. ledna 2024 do 31.</w:t>
      </w:r>
      <w:r w:rsidR="00C23B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prosince 2024. Pro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 potřeba stanovit částky pro období 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od 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ledna 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31. prosince 202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0D25B7F" w14:textId="04A8B314" w:rsidR="00C97B8A" w:rsidRDefault="00C97B8A" w:rsidP="00C97B8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Výše uvedené postupy, tj. úprava normativních nákladů změnou (novelizací) zákona (nikoliv nařízením vlády), byly zvoleny ze dvou zásadních důvodů. Kromě úpravy normativních nákladů (včetně zavedení § 26a) bylo třeba provést též strukturální změny zákona č. 117/1995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Sb. Druhým, zásadním důvodem pak byla skutečnost, že nestandar</w:t>
      </w:r>
      <w:r w:rsidR="00E170A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 situace vyvolaná energetickou krizí reagovala v letech 2022 a 2023 na 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aktuální situaci a předpokládaný vývoj cen energií,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nikoliv, jak předpokládá § 28 </w:t>
      </w:r>
      <w:r w:rsidR="00305B15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odst.</w:t>
      </w:r>
      <w:r w:rsidR="0043453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05B15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1 z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ák. č. 117/1995 Sb., na vývoj cen v období předcházejícím</w:t>
      </w:r>
      <w:r w:rsidR="00305B15"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období, na které se nový normativ stanoví. </w:t>
      </w:r>
      <w:r w:rsidRPr="00DF3FF5">
        <w:rPr>
          <w:rFonts w:ascii="Times New Roman" w:hAnsi="Times New Roman" w:cs="Times New Roman"/>
          <w:color w:val="000000" w:themeColor="text1"/>
          <w:sz w:val="24"/>
          <w:szCs w:val="24"/>
        </w:rPr>
        <w:t>Vzhledem k tomu, že</w:t>
      </w:r>
      <w:r w:rsidR="00A13547" w:rsidRPr="00DF3FF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F3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posledním roce </w:t>
      </w:r>
      <w:r w:rsidR="00DF3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 současnosti </w:t>
      </w:r>
      <w:r w:rsidR="00DF3FF5" w:rsidRPr="00DF3FF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DF3FF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vývoj energetického trhu přiměřeně umírněný, bylo možné přistoupit k úpravě normativních nákladů standar</w:t>
      </w:r>
      <w:r w:rsidR="00E170A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ním způsobem s odkazem na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A135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28 odst.</w:t>
      </w:r>
      <w:r w:rsidR="0043453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6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o státní sociální </w:t>
      </w:r>
      <w:r w:rsidR="00C4199E">
        <w:rPr>
          <w:rFonts w:ascii="Times New Roman" w:hAnsi="Times New Roman" w:cs="Times New Roman"/>
          <w:color w:val="000000" w:themeColor="text1"/>
          <w:sz w:val="24"/>
          <w:szCs w:val="24"/>
        </w:rPr>
        <w:t>podpoře,</w:t>
      </w:r>
      <w:r w:rsidRPr="00FF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nařízením vlády. Nově navržené částky normativních nákladů reflektují cenový vývoj energií v roce 2024.</w:t>
      </w:r>
    </w:p>
    <w:p w14:paraId="571D3E90" w14:textId="5367ACAF" w:rsidR="001C1595" w:rsidRPr="00434533" w:rsidRDefault="00434533" w:rsidP="001C159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4533">
        <w:rPr>
          <w:rFonts w:ascii="Times New Roman" w:hAnsi="Times New Roman" w:cs="Times New Roman"/>
          <w:sz w:val="24"/>
          <w:szCs w:val="24"/>
        </w:rPr>
        <w:lastRenderedPageBreak/>
        <w:t xml:space="preserve">Vzhledem k tomu, že poslední uvedená úprava je časově omezena, je nezbytné v souladu se zákonným zmocněním stanovit nařízením vlády právní úpravu pro rok 2025. </w:t>
      </w:r>
      <w:r w:rsidRPr="00DF3FF5">
        <w:rPr>
          <w:rFonts w:ascii="Times New Roman" w:hAnsi="Times New Roman" w:cs="Times New Roman"/>
          <w:sz w:val="24"/>
          <w:szCs w:val="24"/>
        </w:rPr>
        <w:t>Předložený návrh nařízení vlády vychází ze zákonného zmocnění obsaženého v § 28 odst. 1 zákona o státní sociální podpoře a z údajů Českého statistického úřadu a Ministerstva práce a sociálních věcí ČR.</w:t>
      </w:r>
    </w:p>
    <w:p w14:paraId="4AD37B1A" w14:textId="77777777" w:rsidR="00434533" w:rsidRPr="00AE6D1A" w:rsidRDefault="00434533" w:rsidP="0043453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D1A">
        <w:rPr>
          <w:rFonts w:ascii="Times New Roman" w:hAnsi="Times New Roman" w:cs="Times New Roman"/>
          <w:color w:val="000000" w:themeColor="text1"/>
          <w:sz w:val="24"/>
          <w:szCs w:val="24"/>
        </w:rPr>
        <w:t>Částky, které se započítávají za pevná paliva a částky normativních nákladů na bydlení jsou propočítány podle indexů spotřebitelských cen v roce 2024. Pro stanovení nákladů bylo počítáno se skutečnou meziroční změnou cen za 1. až 3. čtvrtletí 2024 sdělenou Českým statistickým úřadem a s odhadem vývoje těchto cen za celý rok 2024 zpracovaným Ministerstvem práce a sociálních věcí ČR na základě dosavadního vývoje spotřebitelských cen. Výše nákladů srovnatelných s nájemným se upravuje podle sdělení Českého statistického úřadu o imputovaném nájemném.</w:t>
      </w:r>
    </w:p>
    <w:p w14:paraId="2E267494" w14:textId="5C298B22" w:rsidR="00434533" w:rsidRPr="001B0B98" w:rsidRDefault="00434533" w:rsidP="004345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0B98">
        <w:rPr>
          <w:rFonts w:ascii="Times New Roman" w:hAnsi="Times New Roman" w:cs="Times New Roman"/>
          <w:sz w:val="24"/>
          <w:szCs w:val="24"/>
        </w:rPr>
        <w:t>Do propočtu normativních nákladů na bydlení byl zohledněn odhad meziročního nárůstu cen bydlení (o 3,4 %). U položky pevná paliva došlo k</w:t>
      </w:r>
      <w:r w:rsidR="00AE6D1A" w:rsidRPr="001B0B98">
        <w:rPr>
          <w:rFonts w:ascii="Times New Roman" w:hAnsi="Times New Roman" w:cs="Times New Roman"/>
          <w:sz w:val="24"/>
          <w:szCs w:val="24"/>
        </w:rPr>
        <w:t xml:space="preserve"> poklesu cen </w:t>
      </w:r>
      <w:r w:rsidRPr="001B0B98">
        <w:rPr>
          <w:rFonts w:ascii="Times New Roman" w:hAnsi="Times New Roman" w:cs="Times New Roman"/>
          <w:sz w:val="24"/>
          <w:szCs w:val="24"/>
        </w:rPr>
        <w:t>oproti roku 2023</w:t>
      </w:r>
      <w:r w:rsidR="00AE6D1A" w:rsidRPr="001B0B98">
        <w:rPr>
          <w:rFonts w:ascii="Times New Roman" w:hAnsi="Times New Roman" w:cs="Times New Roman"/>
          <w:sz w:val="24"/>
          <w:szCs w:val="24"/>
        </w:rPr>
        <w:t xml:space="preserve"> (o 2,5 %)</w:t>
      </w:r>
      <w:r w:rsidRPr="001B0B98">
        <w:rPr>
          <w:rFonts w:ascii="Times New Roman" w:hAnsi="Times New Roman" w:cs="Times New Roman"/>
          <w:sz w:val="24"/>
          <w:szCs w:val="24"/>
        </w:rPr>
        <w:t>, částka na pevná paliva byla snížena. Náklady srovnatelné s nájemným byly valorizovány s ohledem na vývoj cen imputovaného nájemného (</w:t>
      </w:r>
      <w:r w:rsidR="00AE6D1A" w:rsidRPr="001B0B98">
        <w:rPr>
          <w:rFonts w:ascii="Times New Roman" w:hAnsi="Times New Roman" w:cs="Times New Roman"/>
          <w:sz w:val="24"/>
          <w:szCs w:val="24"/>
        </w:rPr>
        <w:t xml:space="preserve">nárůst </w:t>
      </w:r>
      <w:r w:rsidRPr="001B0B98">
        <w:rPr>
          <w:rFonts w:ascii="Times New Roman" w:hAnsi="Times New Roman" w:cs="Times New Roman"/>
          <w:sz w:val="24"/>
          <w:szCs w:val="24"/>
        </w:rPr>
        <w:t>o 1,2 %).</w:t>
      </w:r>
    </w:p>
    <w:p w14:paraId="106D91DF" w14:textId="5CF8C42C" w:rsidR="00F04BD4" w:rsidRDefault="00F04BD4" w:rsidP="00F04BD4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 níže uvedených tabulkách je vidět rozdíl mezi částkami platnými v roce 2024 a</w:t>
      </w:r>
      <w:r w:rsidR="00DF3FF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navrhovanými hodnotami pro rok 2025:</w:t>
      </w:r>
    </w:p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1253"/>
        <w:gridCol w:w="4134"/>
      </w:tblGrid>
      <w:tr w:rsidR="00F04BD4" w:rsidRPr="007C312E" w14:paraId="4EBB5150" w14:textId="77777777" w:rsidTr="00560349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bottom"/>
            <w:hideMark/>
          </w:tcPr>
          <w:p w14:paraId="5681DAFF" w14:textId="309FEA66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Částky nákladů srovnatelných s nájemným (§ 25) </w:t>
            </w:r>
          </w:p>
        </w:tc>
      </w:tr>
      <w:tr w:rsidR="00F04BD4" w:rsidRPr="007C312E" w14:paraId="5B9B545D" w14:textId="77777777" w:rsidTr="00180743">
        <w:trPr>
          <w:trHeight w:val="300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3A64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lang w:eastAsia="cs-CZ"/>
              </w:rPr>
              <w:t>2024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B704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8E022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Rozdíl 2025 a 2024</w:t>
            </w:r>
          </w:p>
        </w:tc>
      </w:tr>
      <w:tr w:rsidR="00F04BD4" w:rsidRPr="007C312E" w14:paraId="1F124525" w14:textId="77777777" w:rsidTr="00180743">
        <w:trPr>
          <w:trHeight w:val="300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4FB8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3 571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412D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3 614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43496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  <w:tr w:rsidR="00F04BD4" w:rsidRPr="007C312E" w14:paraId="6D6E5B30" w14:textId="77777777" w:rsidTr="00180743">
        <w:trPr>
          <w:trHeight w:val="300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7070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4 669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3EB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4 725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34FEF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</w:tr>
      <w:tr w:rsidR="00F04BD4" w:rsidRPr="007C312E" w14:paraId="6CE8D333" w14:textId="77777777" w:rsidTr="00180743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8B3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5 632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309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5 700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C6919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</w:tr>
    </w:tbl>
    <w:p w14:paraId="3AFB33C1" w14:textId="77777777" w:rsidR="00F04BD4" w:rsidRDefault="00F04BD4" w:rsidP="00F04BD4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219"/>
        <w:gridCol w:w="4437"/>
      </w:tblGrid>
      <w:tr w:rsidR="00F04BD4" w:rsidRPr="007C312E" w14:paraId="7B8F948E" w14:textId="77777777" w:rsidTr="00180743">
        <w:trPr>
          <w:trHeight w:val="300"/>
          <w:jc w:val="center"/>
        </w:trPr>
        <w:tc>
          <w:tcPr>
            <w:tcW w:w="7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51FD4010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Částky nákladů za pevná paliva (§ 25) </w:t>
            </w:r>
          </w:p>
        </w:tc>
      </w:tr>
      <w:tr w:rsidR="00F04BD4" w:rsidRPr="007C312E" w14:paraId="54C8D8E1" w14:textId="77777777" w:rsidTr="00180743">
        <w:trPr>
          <w:trHeight w:val="300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F742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7990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87A4D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Rozdíl 2025 a 2024</w:t>
            </w:r>
          </w:p>
        </w:tc>
      </w:tr>
      <w:tr w:rsidR="00F04BD4" w:rsidRPr="007C312E" w14:paraId="5CAD7667" w14:textId="77777777" w:rsidTr="00180743">
        <w:trPr>
          <w:trHeight w:val="300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01C9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1 843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51E3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1797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C5172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-46</w:t>
            </w:r>
          </w:p>
        </w:tc>
      </w:tr>
      <w:tr w:rsidR="00F04BD4" w:rsidRPr="007C312E" w14:paraId="53E0628B" w14:textId="77777777" w:rsidTr="00180743">
        <w:trPr>
          <w:trHeight w:val="300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2E27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2 411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54C1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2351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F27A3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-60</w:t>
            </w:r>
          </w:p>
        </w:tc>
      </w:tr>
      <w:tr w:rsidR="00F04BD4" w:rsidRPr="007C312E" w14:paraId="2526E8BF" w14:textId="77777777" w:rsidTr="00180743">
        <w:trPr>
          <w:trHeight w:val="31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4F87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2 979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D080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2905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F8BE6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-74</w:t>
            </w:r>
          </w:p>
        </w:tc>
      </w:tr>
    </w:tbl>
    <w:p w14:paraId="76CDFF19" w14:textId="1A50141E" w:rsidR="00DF3FF5" w:rsidRDefault="00DF3FF5" w:rsidP="00F04BD4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2086A3" w14:textId="77777777" w:rsidR="00DF3FF5" w:rsidRDefault="00DF3F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1291"/>
        <w:gridCol w:w="1291"/>
        <w:gridCol w:w="3512"/>
      </w:tblGrid>
      <w:tr w:rsidR="00F04BD4" w:rsidRPr="007C312E" w14:paraId="0AD4F8DA" w14:textId="77777777" w:rsidTr="00180743">
        <w:trPr>
          <w:trHeight w:val="840"/>
          <w:jc w:val="center"/>
        </w:trPr>
        <w:tc>
          <w:tcPr>
            <w:tcW w:w="89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14:paraId="57C0644E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Částky normativních nákladů na bydlení (§ 26) pro bydlení v bytech užívaných na základě nájemní nebo podnájemní smlouvy</w:t>
            </w:r>
          </w:p>
        </w:tc>
      </w:tr>
      <w:tr w:rsidR="00F04BD4" w:rsidRPr="007C312E" w14:paraId="7D7C7847" w14:textId="77777777" w:rsidTr="00180743">
        <w:trPr>
          <w:trHeight w:val="300"/>
          <w:jc w:val="center"/>
        </w:trPr>
        <w:tc>
          <w:tcPr>
            <w:tcW w:w="89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275B87FB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Praha a Brno</w:t>
            </w:r>
          </w:p>
        </w:tc>
      </w:tr>
      <w:tr w:rsidR="00F04BD4" w:rsidRPr="007C312E" w14:paraId="1B42C2B9" w14:textId="77777777" w:rsidTr="00180743">
        <w:trPr>
          <w:trHeight w:val="30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42AA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4BCC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BB5B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D81A1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Rozdíl 2025 a 2024</w:t>
            </w:r>
          </w:p>
        </w:tc>
      </w:tr>
      <w:tr w:rsidR="00F04BD4" w:rsidRPr="007C312E" w14:paraId="762CD239" w14:textId="77777777" w:rsidTr="00180743">
        <w:trPr>
          <w:trHeight w:val="30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06C0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Jedna nebo dvě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E1E4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16 729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E8A0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17 298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74B9F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569</w:t>
            </w:r>
          </w:p>
        </w:tc>
      </w:tr>
      <w:tr w:rsidR="00F04BD4" w:rsidRPr="007C312E" w14:paraId="275CB8FD" w14:textId="77777777" w:rsidTr="00180743">
        <w:trPr>
          <w:trHeight w:val="30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CF24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tři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6A6D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19 212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A2F9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19 865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82052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653</w:t>
            </w:r>
          </w:p>
        </w:tc>
      </w:tr>
      <w:tr w:rsidR="00F04BD4" w:rsidRPr="007C312E" w14:paraId="1D9C3058" w14:textId="77777777" w:rsidTr="00180743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B87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čtyři a více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46D0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23 195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58F5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23 984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E55BE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789</w:t>
            </w:r>
          </w:p>
        </w:tc>
      </w:tr>
      <w:tr w:rsidR="00F04BD4" w:rsidRPr="007C312E" w14:paraId="0F7DFC01" w14:textId="77777777" w:rsidTr="00180743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5D0A" w14:textId="77777777" w:rsidR="00F04BD4" w:rsidRPr="007C312E" w:rsidRDefault="00F04BD4" w:rsidP="00180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FD89" w14:textId="77777777" w:rsidR="00F04BD4" w:rsidRPr="007C312E" w:rsidRDefault="00F04BD4" w:rsidP="00180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2D62" w14:textId="77777777" w:rsidR="00F04BD4" w:rsidRPr="007C312E" w:rsidRDefault="00F04BD4" w:rsidP="0018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106C9" w14:textId="77777777" w:rsidR="00F04BD4" w:rsidRPr="007C312E" w:rsidRDefault="00F04BD4" w:rsidP="00180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4BD4" w:rsidRPr="007C312E" w14:paraId="0760E227" w14:textId="77777777" w:rsidTr="00180743">
        <w:trPr>
          <w:trHeight w:val="300"/>
          <w:jc w:val="center"/>
        </w:trPr>
        <w:tc>
          <w:tcPr>
            <w:tcW w:w="89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6F396191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70 000+</w:t>
            </w:r>
          </w:p>
        </w:tc>
      </w:tr>
      <w:tr w:rsidR="00F04BD4" w:rsidRPr="007C312E" w14:paraId="06E1B8CF" w14:textId="77777777" w:rsidTr="00180743">
        <w:trPr>
          <w:trHeight w:val="30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A9FE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351D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A15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28B96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Rozdíl 2025 a 2024</w:t>
            </w:r>
          </w:p>
        </w:tc>
      </w:tr>
      <w:tr w:rsidR="00F04BD4" w:rsidRPr="007C312E" w14:paraId="2EFC81D2" w14:textId="77777777" w:rsidTr="00180743">
        <w:trPr>
          <w:trHeight w:val="30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A356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Jedna nebo dvě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CE51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14 197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C7C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14 680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F3977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483</w:t>
            </w:r>
          </w:p>
        </w:tc>
      </w:tr>
      <w:tr w:rsidR="00F04BD4" w:rsidRPr="007C312E" w14:paraId="1015225B" w14:textId="77777777" w:rsidTr="00180743">
        <w:trPr>
          <w:trHeight w:val="30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1069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tři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BB0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15 900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39D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16 441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B7C1D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541</w:t>
            </w:r>
          </w:p>
        </w:tc>
      </w:tr>
      <w:tr w:rsidR="00F04BD4" w:rsidRPr="007C312E" w14:paraId="5AB5349C" w14:textId="77777777" w:rsidTr="00180743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AEB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čtyři a více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B323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19 202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7A4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19 855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A3739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653</w:t>
            </w:r>
          </w:p>
        </w:tc>
      </w:tr>
      <w:tr w:rsidR="00F04BD4" w:rsidRPr="007C312E" w14:paraId="79B47838" w14:textId="77777777" w:rsidTr="00180743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39A2" w14:textId="77777777" w:rsidR="00F04BD4" w:rsidRPr="007C312E" w:rsidRDefault="00F04BD4" w:rsidP="00180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EA73" w14:textId="77777777" w:rsidR="00F04BD4" w:rsidRPr="007C312E" w:rsidRDefault="00F04BD4" w:rsidP="00180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F526" w14:textId="77777777" w:rsidR="00F04BD4" w:rsidRPr="007C312E" w:rsidRDefault="00F04BD4" w:rsidP="0018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69590" w14:textId="77777777" w:rsidR="00F04BD4" w:rsidRPr="007C312E" w:rsidRDefault="00F04BD4" w:rsidP="00180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4BD4" w:rsidRPr="007C312E" w14:paraId="73372AF3" w14:textId="77777777" w:rsidTr="00180743">
        <w:trPr>
          <w:trHeight w:val="300"/>
          <w:jc w:val="center"/>
        </w:trPr>
        <w:tc>
          <w:tcPr>
            <w:tcW w:w="89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1B75046B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 69 999</w:t>
            </w:r>
          </w:p>
        </w:tc>
      </w:tr>
      <w:tr w:rsidR="00F04BD4" w:rsidRPr="007C312E" w14:paraId="2E48E28B" w14:textId="77777777" w:rsidTr="00180743">
        <w:trPr>
          <w:trHeight w:val="30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A151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6FC6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E67B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6D792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Rozdíl 2025 a 2024</w:t>
            </w:r>
          </w:p>
        </w:tc>
      </w:tr>
      <w:tr w:rsidR="00F04BD4" w:rsidRPr="007C312E" w14:paraId="7F4B5D7E" w14:textId="77777777" w:rsidTr="00180743">
        <w:trPr>
          <w:trHeight w:val="30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B48E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Jedna nebo dvě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7F0F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13 737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2344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204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69FC0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467</w:t>
            </w:r>
          </w:p>
        </w:tc>
      </w:tr>
      <w:tr w:rsidR="00F04BD4" w:rsidRPr="007C312E" w14:paraId="379DF991" w14:textId="77777777" w:rsidTr="00180743">
        <w:trPr>
          <w:trHeight w:val="30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9553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tři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5005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15 299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9281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819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E2BAA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</w:tr>
      <w:tr w:rsidR="00F04BD4" w:rsidRPr="007C312E" w14:paraId="62E236F2" w14:textId="77777777" w:rsidTr="00180743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FD3A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čtyři a více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73D6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18 477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A373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129EC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628</w:t>
            </w:r>
          </w:p>
        </w:tc>
      </w:tr>
    </w:tbl>
    <w:p w14:paraId="1B62D7A1" w14:textId="77777777" w:rsidR="00F04BD4" w:rsidRDefault="00F04BD4" w:rsidP="00F04BD4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305"/>
        <w:gridCol w:w="1203"/>
        <w:gridCol w:w="3552"/>
      </w:tblGrid>
      <w:tr w:rsidR="00F04BD4" w:rsidRPr="007C312E" w14:paraId="534853BC" w14:textId="77777777" w:rsidTr="00180743">
        <w:trPr>
          <w:trHeight w:val="855"/>
        </w:trPr>
        <w:tc>
          <w:tcPr>
            <w:tcW w:w="89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bottom"/>
            <w:hideMark/>
          </w:tcPr>
          <w:p w14:paraId="39F6FCAD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Částky normativních nákladů na bydlení (§ 26) pro bydlení v družstevních bytech, bytech užívaných na základě služebnosti užívání celého bytu a bytech vlastníků</w:t>
            </w:r>
          </w:p>
        </w:tc>
      </w:tr>
      <w:tr w:rsidR="00F04BD4" w:rsidRPr="007C312E" w14:paraId="6D416AA1" w14:textId="77777777" w:rsidTr="00180743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39CD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3388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BBE1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0678D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Rozdíl 2025 a 2024</w:t>
            </w:r>
          </w:p>
        </w:tc>
      </w:tr>
      <w:tr w:rsidR="00F04BD4" w:rsidRPr="007C312E" w14:paraId="3E1EAF80" w14:textId="77777777" w:rsidTr="00180743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9D99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Jedna nebo dvě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AD8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8 932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B627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236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2D8A9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304</w:t>
            </w:r>
          </w:p>
        </w:tc>
      </w:tr>
      <w:tr w:rsidR="00F04BD4" w:rsidRPr="007C312E" w14:paraId="2A94CBBC" w14:textId="77777777" w:rsidTr="00180743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8EC0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tři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4001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11 161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418D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540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79A3D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379</w:t>
            </w:r>
          </w:p>
        </w:tc>
      </w:tr>
      <w:tr w:rsidR="00F04BD4" w:rsidRPr="007C312E" w14:paraId="6827A649" w14:textId="77777777" w:rsidTr="00180743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C044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čtyři a více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9CB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13 568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4977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029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5101B" w14:textId="77777777" w:rsidR="00F04BD4" w:rsidRPr="007C312E" w:rsidRDefault="00F04BD4" w:rsidP="00180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12E">
              <w:rPr>
                <w:rFonts w:ascii="Calibri" w:eastAsia="Times New Roman" w:hAnsi="Calibri" w:cs="Calibri"/>
                <w:color w:val="000000"/>
                <w:lang w:eastAsia="cs-CZ"/>
              </w:rPr>
              <w:t>461</w:t>
            </w:r>
          </w:p>
        </w:tc>
      </w:tr>
    </w:tbl>
    <w:p w14:paraId="08935D5D" w14:textId="1E23A2F3" w:rsidR="00F57625" w:rsidRPr="00B326C9" w:rsidRDefault="00F57625" w:rsidP="00F04BD4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B326C9">
        <w:rPr>
          <w:rFonts w:ascii="Times New Roman" w:hAnsi="Times New Roman" w:cs="Times New Roman"/>
          <w:sz w:val="24"/>
          <w:szCs w:val="24"/>
        </w:rPr>
        <w:t>K návrhu nařízení vlády nebylo v souladu s čl. I bod 3.</w:t>
      </w:r>
      <w:r w:rsidR="0025408F">
        <w:rPr>
          <w:rFonts w:ascii="Times New Roman" w:hAnsi="Times New Roman" w:cs="Times New Roman"/>
          <w:sz w:val="24"/>
          <w:szCs w:val="24"/>
        </w:rPr>
        <w:t> </w:t>
      </w:r>
      <w:r w:rsidRPr="00B326C9">
        <w:rPr>
          <w:rFonts w:ascii="Times New Roman" w:hAnsi="Times New Roman" w:cs="Times New Roman"/>
          <w:sz w:val="24"/>
          <w:szCs w:val="24"/>
        </w:rPr>
        <w:t>8. písm.</w:t>
      </w:r>
      <w:r w:rsidR="0025408F">
        <w:rPr>
          <w:rFonts w:ascii="Times New Roman" w:hAnsi="Times New Roman" w:cs="Times New Roman"/>
          <w:sz w:val="24"/>
          <w:szCs w:val="24"/>
        </w:rPr>
        <w:t> </w:t>
      </w:r>
      <w:r w:rsidRPr="00B326C9">
        <w:rPr>
          <w:rFonts w:ascii="Times New Roman" w:hAnsi="Times New Roman" w:cs="Times New Roman"/>
          <w:sz w:val="24"/>
          <w:szCs w:val="24"/>
        </w:rPr>
        <w:t>f) Obecných zásad pro hodnocení dopadu regulace (RIA) zpracováno hodnocení dopadu regulace (RIA), neboť navrhovaný předpis obsahuje pouze parametrické změny, kdy variantní řešení není možné. Skutečnost, že se jedná o změny technického charakteru, vyplývá z toho, že zákonné zmocnění určuje přesně, které částky se upravují a jakým způsobem se jejich výše stanoví; uvedené zákonné zmocnění nedává prostor pro jiný postup, popřípadě jiné varianty úpravy částek nákladů na bydlení pro účely státní sociální podpory. Jedná se o prováděcí právní předpis – povinnost každoročně stanovit uvedené částky je vládě uložena přímo zákonem.</w:t>
      </w:r>
    </w:p>
    <w:p w14:paraId="38E8AB01" w14:textId="06640A3B" w:rsidR="0020142B" w:rsidRPr="004F289F" w:rsidRDefault="009D23B0" w:rsidP="009F6DB0">
      <w:pPr>
        <w:tabs>
          <w:tab w:val="left" w:pos="284"/>
        </w:tabs>
        <w:spacing w:after="120"/>
        <w:jc w:val="both"/>
        <w:rPr>
          <w:rFonts w:ascii="Times New Roman" w:hAnsi="Times New Roman"/>
          <w:b/>
          <w:iCs/>
          <w:sz w:val="24"/>
          <w:szCs w:val="24"/>
        </w:rPr>
      </w:pPr>
      <w:r w:rsidRPr="004F289F">
        <w:rPr>
          <w:rFonts w:ascii="Times New Roman" w:hAnsi="Times New Roman"/>
          <w:b/>
          <w:iCs/>
          <w:sz w:val="24"/>
          <w:szCs w:val="24"/>
        </w:rPr>
        <w:t>Dopady navrhované úpravy</w:t>
      </w:r>
      <w:r w:rsidR="00885D87" w:rsidRPr="004F289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50F52486" w14:textId="77777777" w:rsidR="009F7216" w:rsidRDefault="009F7216" w:rsidP="009F6DB0">
      <w:pPr>
        <w:pStyle w:val="Odstavecseseznamem"/>
        <w:numPr>
          <w:ilvl w:val="0"/>
          <w:numId w:val="27"/>
        </w:numPr>
        <w:tabs>
          <w:tab w:val="left" w:pos="284"/>
        </w:tabs>
        <w:spacing w:after="12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F289F">
        <w:rPr>
          <w:rFonts w:ascii="Times New Roman" w:hAnsi="Times New Roman"/>
          <w:b/>
          <w:sz w:val="24"/>
          <w:szCs w:val="24"/>
        </w:rPr>
        <w:t>na státní rozpočet</w:t>
      </w:r>
    </w:p>
    <w:p w14:paraId="202377B4" w14:textId="77777777" w:rsidR="00B326C9" w:rsidRDefault="00B326C9" w:rsidP="00B326C9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F609F6">
        <w:rPr>
          <w:rFonts w:ascii="Times New Roman" w:hAnsi="Times New Roman" w:cs="Times New Roman"/>
          <w:sz w:val="24"/>
          <w:szCs w:val="24"/>
        </w:rPr>
        <w:t xml:space="preserve">Odhad ekonomických dopadů vyplývajících </w:t>
      </w:r>
      <w:r w:rsidRPr="00F609F6">
        <w:rPr>
          <w:rFonts w:ascii="Times New Roman" w:hAnsi="Times New Roman" w:cs="Times New Roman"/>
          <w:sz w:val="24"/>
          <w:szCs w:val="24"/>
          <w:u w:val="single"/>
        </w:rPr>
        <w:t>pouze</w:t>
      </w:r>
      <w:r w:rsidRPr="00F609F6">
        <w:rPr>
          <w:rFonts w:ascii="Times New Roman" w:hAnsi="Times New Roman" w:cs="Times New Roman"/>
          <w:sz w:val="24"/>
          <w:szCs w:val="24"/>
        </w:rPr>
        <w:t xml:space="preserve"> z úprav částek nákladů srovnatelných s nájemným, částek, které se započítávají za pevná paliva a částek normativních nákladů na bydlení představuje (při zachování současné legislativní úpravy a současného trendu vývoje příjemců sociálních dávek poskytovaných do oblasti bydlení) zvýšení o cca 269 mil. Kč </w:t>
      </w:r>
      <w:r w:rsidRPr="00F609F6">
        <w:rPr>
          <w:rFonts w:ascii="Times New Roman" w:hAnsi="Times New Roman" w:cs="Times New Roman"/>
          <w:sz w:val="24"/>
          <w:szCs w:val="24"/>
        </w:rPr>
        <w:lastRenderedPageBreak/>
        <w:t xml:space="preserve">u příspěvku na bydlení a cca 19 mil. Kč u doplatku na bydlení, tzn. v obou systémech </w:t>
      </w:r>
      <w:r w:rsidRPr="00F609F6">
        <w:rPr>
          <w:rFonts w:ascii="Times New Roman" w:hAnsi="Times New Roman" w:cs="Times New Roman"/>
          <w:b/>
          <w:sz w:val="24"/>
          <w:szCs w:val="24"/>
        </w:rPr>
        <w:t>nárůst celkem cca</w:t>
      </w:r>
      <w:r w:rsidRPr="00F609F6">
        <w:rPr>
          <w:rFonts w:ascii="Times New Roman" w:hAnsi="Times New Roman" w:cs="Times New Roman"/>
          <w:sz w:val="24"/>
          <w:szCs w:val="24"/>
        </w:rPr>
        <w:t> </w:t>
      </w:r>
      <w:r w:rsidRPr="00F609F6">
        <w:rPr>
          <w:rFonts w:ascii="Times New Roman" w:hAnsi="Times New Roman" w:cs="Times New Roman"/>
          <w:b/>
          <w:sz w:val="24"/>
          <w:szCs w:val="24"/>
        </w:rPr>
        <w:t>288 mil. Kč (cca 0,3 mld. Kč)</w:t>
      </w:r>
      <w:r w:rsidRPr="00F609F6">
        <w:rPr>
          <w:rFonts w:ascii="Times New Roman" w:hAnsi="Times New Roman" w:cs="Times New Roman"/>
          <w:sz w:val="24"/>
          <w:szCs w:val="24"/>
        </w:rPr>
        <w:t xml:space="preserve"> pro rok 2025.</w:t>
      </w:r>
    </w:p>
    <w:p w14:paraId="0F1C6F5A" w14:textId="77777777" w:rsidR="009D3F07" w:rsidRPr="004F289F" w:rsidRDefault="009D3F07" w:rsidP="009F6DB0">
      <w:pPr>
        <w:pStyle w:val="Odstavecseseznamem"/>
        <w:numPr>
          <w:ilvl w:val="0"/>
          <w:numId w:val="27"/>
        </w:numPr>
        <w:tabs>
          <w:tab w:val="left" w:pos="284"/>
        </w:tabs>
        <w:spacing w:after="12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F289F">
        <w:rPr>
          <w:rFonts w:ascii="Times New Roman" w:hAnsi="Times New Roman"/>
          <w:b/>
          <w:sz w:val="24"/>
          <w:szCs w:val="24"/>
        </w:rPr>
        <w:t>na ostatní veřejné rozpočty</w:t>
      </w:r>
    </w:p>
    <w:p w14:paraId="50E896A7" w14:textId="6DF48CCA" w:rsidR="009D3F07" w:rsidRPr="004F289F" w:rsidRDefault="009D23B0" w:rsidP="009F6DB0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F289F">
        <w:rPr>
          <w:rFonts w:ascii="Times New Roman" w:hAnsi="Times New Roman"/>
          <w:sz w:val="24"/>
          <w:szCs w:val="24"/>
        </w:rPr>
        <w:t xml:space="preserve">Navrhovaná úprava nebude mít dopad na </w:t>
      </w:r>
      <w:r w:rsidR="009D3F07" w:rsidRPr="004F289F">
        <w:rPr>
          <w:rFonts w:ascii="Times New Roman" w:hAnsi="Times New Roman"/>
          <w:sz w:val="24"/>
          <w:szCs w:val="24"/>
        </w:rPr>
        <w:t>ostatní veřejné rozpočty</w:t>
      </w:r>
      <w:r w:rsidRPr="004F289F">
        <w:rPr>
          <w:rFonts w:ascii="Times New Roman" w:hAnsi="Times New Roman"/>
          <w:sz w:val="24"/>
          <w:szCs w:val="24"/>
        </w:rPr>
        <w:t>.</w:t>
      </w:r>
    </w:p>
    <w:p w14:paraId="3E9291FE" w14:textId="77777777" w:rsidR="009D3F07" w:rsidRPr="004F289F" w:rsidRDefault="009D3F07" w:rsidP="009F6DB0">
      <w:pPr>
        <w:pStyle w:val="Odstavecseseznamem"/>
        <w:numPr>
          <w:ilvl w:val="0"/>
          <w:numId w:val="27"/>
        </w:numPr>
        <w:tabs>
          <w:tab w:val="left" w:pos="284"/>
        </w:tabs>
        <w:spacing w:after="12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F289F">
        <w:rPr>
          <w:rFonts w:ascii="Times New Roman" w:hAnsi="Times New Roman"/>
          <w:b/>
          <w:sz w:val="24"/>
          <w:szCs w:val="24"/>
        </w:rPr>
        <w:t>na podnikatelské prostředí</w:t>
      </w:r>
      <w:r w:rsidR="009D23B0" w:rsidRPr="004F289F">
        <w:rPr>
          <w:rFonts w:ascii="Times New Roman" w:hAnsi="Times New Roman"/>
          <w:b/>
          <w:sz w:val="24"/>
          <w:szCs w:val="24"/>
        </w:rPr>
        <w:t xml:space="preserve"> </w:t>
      </w:r>
    </w:p>
    <w:p w14:paraId="17F7A02E" w14:textId="582F1174" w:rsidR="009D3F07" w:rsidRPr="004F289F" w:rsidRDefault="009D3F07" w:rsidP="009F6DB0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F289F">
        <w:rPr>
          <w:rFonts w:ascii="Times New Roman" w:hAnsi="Times New Roman"/>
          <w:sz w:val="24"/>
          <w:szCs w:val="24"/>
        </w:rPr>
        <w:t>Navrhovaná právní úprava nebude mít vliv na podnikatelské prostředí České republiky.</w:t>
      </w:r>
    </w:p>
    <w:p w14:paraId="60B5A869" w14:textId="316DB34F" w:rsidR="009D3F07" w:rsidRPr="008E08BD" w:rsidRDefault="009D3F07" w:rsidP="009F6DB0">
      <w:pPr>
        <w:pStyle w:val="Odstavecseseznamem"/>
        <w:numPr>
          <w:ilvl w:val="0"/>
          <w:numId w:val="27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89F">
        <w:rPr>
          <w:rFonts w:ascii="Times New Roman" w:hAnsi="Times New Roman"/>
          <w:b/>
          <w:sz w:val="24"/>
          <w:szCs w:val="24"/>
        </w:rPr>
        <w:t>sociální dopady, včetně dopadů na rodiny a dopadů na specifické skupiny obyvatel, zejména osoby sociálně slabé, osoby se zdravotním postižením a národnostní menšiny</w:t>
      </w:r>
      <w:r w:rsidR="008E08BD">
        <w:rPr>
          <w:rFonts w:ascii="Times New Roman" w:hAnsi="Times New Roman"/>
          <w:b/>
          <w:sz w:val="24"/>
          <w:szCs w:val="24"/>
        </w:rPr>
        <w:t xml:space="preserve"> </w:t>
      </w:r>
      <w:r w:rsidR="008E08BD" w:rsidRPr="008E08BD">
        <w:rPr>
          <w:rFonts w:ascii="Times New Roman" w:hAnsi="Times New Roman" w:cs="Times New Roman"/>
          <w:b/>
          <w:sz w:val="24"/>
          <w:szCs w:val="24"/>
        </w:rPr>
        <w:t>a dopad</w:t>
      </w:r>
      <w:r w:rsidR="008E08BD">
        <w:rPr>
          <w:rFonts w:ascii="Times New Roman" w:hAnsi="Times New Roman" w:cs="Times New Roman"/>
          <w:b/>
          <w:sz w:val="24"/>
          <w:szCs w:val="24"/>
        </w:rPr>
        <w:t>y</w:t>
      </w:r>
      <w:r w:rsidR="008E08BD" w:rsidRPr="008E08BD">
        <w:rPr>
          <w:rFonts w:ascii="Times New Roman" w:hAnsi="Times New Roman" w:cs="Times New Roman"/>
          <w:b/>
          <w:sz w:val="24"/>
          <w:szCs w:val="24"/>
        </w:rPr>
        <w:t xml:space="preserve"> na ochranu práv dětí</w:t>
      </w:r>
    </w:p>
    <w:p w14:paraId="600B5099" w14:textId="5D0EC4DD" w:rsidR="00123C9D" w:rsidRDefault="00885D87" w:rsidP="009F6D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89F">
        <w:rPr>
          <w:rFonts w:ascii="Times New Roman" w:hAnsi="Times New Roman" w:cs="Times New Roman"/>
          <w:sz w:val="24"/>
          <w:szCs w:val="24"/>
        </w:rPr>
        <w:t>Navrhovaná právní úprava bude mít pozitivní dopady na součas</w:t>
      </w:r>
      <w:r w:rsidR="009F7C64" w:rsidRPr="004F289F">
        <w:rPr>
          <w:rFonts w:ascii="Times New Roman" w:hAnsi="Times New Roman" w:cs="Times New Roman"/>
          <w:sz w:val="24"/>
          <w:szCs w:val="24"/>
        </w:rPr>
        <w:t>né příjemce těchto dávek, tzn. </w:t>
      </w:r>
      <w:r w:rsidRPr="004F289F">
        <w:rPr>
          <w:rFonts w:ascii="Times New Roman" w:hAnsi="Times New Roman" w:cs="Times New Roman"/>
          <w:sz w:val="24"/>
          <w:szCs w:val="24"/>
        </w:rPr>
        <w:t>zejména na osoby nebo rodiny s nedostatečnými příjmy, mezi které patří zejména senioři, osoby se zdravotním postižením a rodiny s malými dětmi.</w:t>
      </w:r>
    </w:p>
    <w:p w14:paraId="19AD3526" w14:textId="77777777" w:rsidR="00123C9D" w:rsidRPr="00123C9D" w:rsidRDefault="009D23B0" w:rsidP="009F6DB0">
      <w:pPr>
        <w:pStyle w:val="Odstavecseseznamem"/>
        <w:numPr>
          <w:ilvl w:val="0"/>
          <w:numId w:val="27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289F">
        <w:rPr>
          <w:rFonts w:ascii="Times New Roman" w:hAnsi="Times New Roman"/>
          <w:b/>
          <w:sz w:val="24"/>
          <w:szCs w:val="24"/>
        </w:rPr>
        <w:t>na životní prostředí</w:t>
      </w:r>
    </w:p>
    <w:p w14:paraId="78A82CC4" w14:textId="0E2AC3FB" w:rsidR="009D23B0" w:rsidRPr="00123C9D" w:rsidRDefault="009D23B0" w:rsidP="009F6DB0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3C9D">
        <w:rPr>
          <w:rFonts w:ascii="Times New Roman" w:hAnsi="Times New Roman"/>
          <w:sz w:val="24"/>
          <w:szCs w:val="24"/>
        </w:rPr>
        <w:t xml:space="preserve">Navrhovaná úprava </w:t>
      </w:r>
      <w:r w:rsidR="00202F26" w:rsidRPr="00123C9D">
        <w:rPr>
          <w:rFonts w:ascii="Times New Roman" w:hAnsi="Times New Roman"/>
          <w:sz w:val="24"/>
          <w:szCs w:val="24"/>
        </w:rPr>
        <w:t>nemá vliv na problematiku životního prostředí a nebude mít za následek dopady na životní prostředí.</w:t>
      </w:r>
    </w:p>
    <w:p w14:paraId="783EE346" w14:textId="0A88C4CB" w:rsidR="00202F26" w:rsidRPr="004F289F" w:rsidRDefault="00202F26" w:rsidP="009F6DB0">
      <w:pPr>
        <w:tabs>
          <w:tab w:val="left" w:pos="284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F289F">
        <w:rPr>
          <w:rFonts w:ascii="Times New Roman" w:hAnsi="Times New Roman"/>
          <w:b/>
          <w:sz w:val="24"/>
          <w:szCs w:val="24"/>
        </w:rPr>
        <w:t>Zhodnocení současného stavu a dopadů navrhovaného řešení ve vztahu k zákazu diskriminace a ve vztahu k </w:t>
      </w:r>
      <w:r w:rsidRPr="00DF3FF5">
        <w:rPr>
          <w:rFonts w:ascii="Times New Roman" w:hAnsi="Times New Roman"/>
          <w:b/>
          <w:sz w:val="24"/>
          <w:szCs w:val="24"/>
        </w:rPr>
        <w:t xml:space="preserve">rovnosti </w:t>
      </w:r>
      <w:r w:rsidR="00195E0A" w:rsidRPr="00DF3FF5">
        <w:rPr>
          <w:rFonts w:ascii="Times New Roman" w:hAnsi="Times New Roman"/>
          <w:b/>
          <w:sz w:val="24"/>
          <w:szCs w:val="24"/>
        </w:rPr>
        <w:t>žen a mužů</w:t>
      </w:r>
    </w:p>
    <w:p w14:paraId="40DA24D0" w14:textId="09D33F7A" w:rsidR="006101F5" w:rsidRPr="00F36A41" w:rsidRDefault="00202F26" w:rsidP="009F6DB0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F289F">
        <w:rPr>
          <w:rFonts w:ascii="Times New Roman" w:hAnsi="Times New Roman"/>
          <w:sz w:val="24"/>
          <w:szCs w:val="24"/>
        </w:rPr>
        <w:t>Současná právní úprava, která vychází z § 25 a 26 zákona o státní sociální podpoře, neobsahuje žádná ustanovení, která by narušovala právo na rovné zacházení a vedla k</w:t>
      </w:r>
      <w:r w:rsidR="00F36A41">
        <w:rPr>
          <w:rFonts w:ascii="Times New Roman" w:hAnsi="Times New Roman"/>
          <w:sz w:val="24"/>
          <w:szCs w:val="24"/>
        </w:rPr>
        <w:t> </w:t>
      </w:r>
      <w:r w:rsidRPr="004F289F">
        <w:rPr>
          <w:rFonts w:ascii="Times New Roman" w:hAnsi="Times New Roman"/>
          <w:sz w:val="24"/>
          <w:szCs w:val="24"/>
        </w:rPr>
        <w:t>diskriminaci</w:t>
      </w:r>
      <w:r w:rsidR="00F36A41">
        <w:rPr>
          <w:rFonts w:ascii="Times New Roman" w:hAnsi="Times New Roman"/>
          <w:sz w:val="24"/>
          <w:szCs w:val="24"/>
        </w:rPr>
        <w:t xml:space="preserve">. </w:t>
      </w:r>
      <w:r w:rsidR="00872CC9" w:rsidRPr="006101F5">
        <w:rPr>
          <w:rFonts w:ascii="Times New Roman" w:hAnsi="Times New Roman" w:cs="Times New Roman"/>
          <w:sz w:val="24"/>
          <w:szCs w:val="24"/>
        </w:rPr>
        <w:t xml:space="preserve">Sociální dávky na podporu bydlení jsou určeny občanům bez rozdílu pohlaví. </w:t>
      </w:r>
      <w:r w:rsidR="006101F5" w:rsidRPr="006101F5">
        <w:rPr>
          <w:rFonts w:ascii="Times New Roman" w:hAnsi="Times New Roman" w:cs="Times New Roman"/>
          <w:sz w:val="24"/>
          <w:szCs w:val="24"/>
        </w:rPr>
        <w:t>Navrhovaná právní úprava bude mít pozitivní dopad na osoby nebo rodiny s nedostatečnými příjmy, které</w:t>
      </w:r>
      <w:r w:rsidR="00330156">
        <w:rPr>
          <w:rFonts w:ascii="Times New Roman" w:hAnsi="Times New Roman" w:cs="Times New Roman"/>
          <w:sz w:val="24"/>
          <w:szCs w:val="24"/>
        </w:rPr>
        <w:t> </w:t>
      </w:r>
      <w:r w:rsidR="006101F5" w:rsidRPr="006101F5">
        <w:rPr>
          <w:rFonts w:ascii="Times New Roman" w:hAnsi="Times New Roman" w:cs="Times New Roman"/>
          <w:sz w:val="24"/>
          <w:szCs w:val="24"/>
        </w:rPr>
        <w:t>tvoří ve větší míře ženy</w:t>
      </w:r>
      <w:r w:rsidR="00123C9D">
        <w:rPr>
          <w:rFonts w:ascii="Times New Roman" w:hAnsi="Times New Roman" w:cs="Times New Roman"/>
          <w:sz w:val="24"/>
          <w:szCs w:val="24"/>
        </w:rPr>
        <w:t>.</w:t>
      </w:r>
      <w:r w:rsidR="006101F5" w:rsidRPr="006101F5">
        <w:rPr>
          <w:rFonts w:ascii="Times New Roman" w:hAnsi="Times New Roman" w:cs="Times New Roman"/>
          <w:sz w:val="24"/>
          <w:szCs w:val="24"/>
        </w:rPr>
        <w:t xml:space="preserve"> Navrhovaná právní úprava tak ve svém důsledku směřuje mj.</w:t>
      </w:r>
      <w:r w:rsidR="00330156">
        <w:rPr>
          <w:rFonts w:ascii="Times New Roman" w:hAnsi="Times New Roman" w:cs="Times New Roman"/>
          <w:sz w:val="24"/>
          <w:szCs w:val="24"/>
        </w:rPr>
        <w:t> </w:t>
      </w:r>
      <w:r w:rsidR="006101F5" w:rsidRPr="006101F5">
        <w:rPr>
          <w:rFonts w:ascii="Times New Roman" w:hAnsi="Times New Roman" w:cs="Times New Roman"/>
          <w:sz w:val="24"/>
          <w:szCs w:val="24"/>
        </w:rPr>
        <w:t>ke</w:t>
      </w:r>
      <w:r w:rsidR="00123C9D">
        <w:rPr>
          <w:rFonts w:ascii="Times New Roman" w:hAnsi="Times New Roman" w:cs="Times New Roman"/>
          <w:sz w:val="24"/>
          <w:szCs w:val="24"/>
        </w:rPr>
        <w:t> </w:t>
      </w:r>
      <w:r w:rsidR="006101F5" w:rsidRPr="006101F5">
        <w:rPr>
          <w:rFonts w:ascii="Times New Roman" w:hAnsi="Times New Roman" w:cs="Times New Roman"/>
          <w:sz w:val="24"/>
          <w:szCs w:val="24"/>
        </w:rPr>
        <w:t>snížení stávajících ekonomických nerovností mezi ženami a muži</w:t>
      </w:r>
      <w:r w:rsidR="00F36A41">
        <w:rPr>
          <w:rFonts w:ascii="Times New Roman" w:hAnsi="Times New Roman" w:cs="Times New Roman"/>
          <w:sz w:val="24"/>
          <w:szCs w:val="24"/>
        </w:rPr>
        <w:t>.</w:t>
      </w:r>
      <w:r w:rsidR="006101F5" w:rsidRPr="0061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90122" w14:textId="4BC9BB27" w:rsidR="00202F26" w:rsidRPr="004F289F" w:rsidRDefault="00202F26" w:rsidP="009F6DB0">
      <w:pPr>
        <w:tabs>
          <w:tab w:val="left" w:pos="284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F289F">
        <w:rPr>
          <w:rFonts w:ascii="Times New Roman" w:hAnsi="Times New Roman"/>
          <w:b/>
          <w:sz w:val="24"/>
          <w:szCs w:val="24"/>
        </w:rPr>
        <w:t>Zhodnocení dopadů navrhovaného řešení ve vztahu k ochraně soukromí a osobních údajů</w:t>
      </w:r>
    </w:p>
    <w:p w14:paraId="56ED5E06" w14:textId="62AB47ED" w:rsidR="009D23B0" w:rsidRPr="004F289F" w:rsidRDefault="009D23B0" w:rsidP="009F6DB0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F289F">
        <w:rPr>
          <w:rFonts w:ascii="Times New Roman" w:hAnsi="Times New Roman"/>
          <w:sz w:val="24"/>
          <w:szCs w:val="24"/>
        </w:rPr>
        <w:t xml:space="preserve">Navrhovaná úprava </w:t>
      </w:r>
      <w:r w:rsidR="00202F26" w:rsidRPr="004F289F">
        <w:rPr>
          <w:rFonts w:ascii="Times New Roman" w:hAnsi="Times New Roman"/>
          <w:sz w:val="24"/>
          <w:szCs w:val="24"/>
        </w:rPr>
        <w:t>nebude mít dopad na ochranu soukromí ani ochranu osobních údajů, neboť</w:t>
      </w:r>
      <w:r w:rsidR="00330156">
        <w:rPr>
          <w:rFonts w:ascii="Times New Roman" w:hAnsi="Times New Roman"/>
          <w:sz w:val="24"/>
          <w:szCs w:val="24"/>
        </w:rPr>
        <w:t> </w:t>
      </w:r>
      <w:r w:rsidR="00202F26" w:rsidRPr="004F289F">
        <w:rPr>
          <w:rFonts w:ascii="Times New Roman" w:hAnsi="Times New Roman"/>
          <w:sz w:val="24"/>
          <w:szCs w:val="24"/>
        </w:rPr>
        <w:t>jde pouze o změny technického charakteru.</w:t>
      </w:r>
    </w:p>
    <w:p w14:paraId="1EA3CDB3" w14:textId="77777777" w:rsidR="009D23B0" w:rsidRPr="004F289F" w:rsidRDefault="009D23B0" w:rsidP="009F6DB0">
      <w:pPr>
        <w:tabs>
          <w:tab w:val="left" w:pos="284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F289F">
        <w:rPr>
          <w:rFonts w:ascii="Times New Roman" w:hAnsi="Times New Roman"/>
          <w:b/>
          <w:sz w:val="24"/>
          <w:szCs w:val="24"/>
        </w:rPr>
        <w:t>Zhodnocení korupčních rizik</w:t>
      </w:r>
    </w:p>
    <w:p w14:paraId="0D1717C9" w14:textId="77777777" w:rsidR="002B3304" w:rsidRPr="004F289F" w:rsidRDefault="001B2B36" w:rsidP="009F6D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F289F">
        <w:rPr>
          <w:rFonts w:ascii="Times New Roman" w:hAnsi="Times New Roman"/>
          <w:sz w:val="24"/>
          <w:szCs w:val="24"/>
        </w:rPr>
        <w:t>V navrhované právní úpravě nebyla shledána žádná rizika, která by mohla vést ke korupčnímu jednání.</w:t>
      </w:r>
    </w:p>
    <w:p w14:paraId="4EE26ABC" w14:textId="77777777" w:rsidR="001B2B36" w:rsidRPr="004F289F" w:rsidRDefault="001B2B36" w:rsidP="009F6DB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F289F">
        <w:rPr>
          <w:rFonts w:ascii="Times New Roman" w:hAnsi="Times New Roman"/>
          <w:b/>
          <w:sz w:val="24"/>
          <w:szCs w:val="24"/>
        </w:rPr>
        <w:t>Zhodnocení d</w:t>
      </w:r>
      <w:r w:rsidR="009D23B0" w:rsidRPr="004F289F">
        <w:rPr>
          <w:rFonts w:ascii="Times New Roman" w:hAnsi="Times New Roman"/>
          <w:b/>
          <w:sz w:val="24"/>
          <w:szCs w:val="24"/>
        </w:rPr>
        <w:t>opad</w:t>
      </w:r>
      <w:r w:rsidRPr="004F289F">
        <w:rPr>
          <w:rFonts w:ascii="Times New Roman" w:hAnsi="Times New Roman"/>
          <w:b/>
          <w:sz w:val="24"/>
          <w:szCs w:val="24"/>
        </w:rPr>
        <w:t>ů</w:t>
      </w:r>
      <w:r w:rsidR="009D23B0" w:rsidRPr="004F289F">
        <w:rPr>
          <w:rFonts w:ascii="Times New Roman" w:hAnsi="Times New Roman"/>
          <w:b/>
          <w:sz w:val="24"/>
          <w:szCs w:val="24"/>
        </w:rPr>
        <w:t xml:space="preserve"> na bezpečnost nebo obranu státu</w:t>
      </w:r>
    </w:p>
    <w:p w14:paraId="5F2582D0" w14:textId="7BCC5C2E" w:rsidR="001B2B36" w:rsidRDefault="009D23B0" w:rsidP="009F6D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F289F">
        <w:rPr>
          <w:rFonts w:ascii="Times New Roman" w:hAnsi="Times New Roman"/>
          <w:sz w:val="24"/>
          <w:szCs w:val="24"/>
        </w:rPr>
        <w:t>Navrhovaná úprava nebude mít dopady na bezpečnost nebo obranu státu, neboť se navrhovaná opatření této oblasti nedotýkají.</w:t>
      </w:r>
    </w:p>
    <w:p w14:paraId="0712AB3B" w14:textId="3FE21EE0" w:rsidR="008E08BD" w:rsidRDefault="008E08BD" w:rsidP="009F6D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8BD">
        <w:rPr>
          <w:rFonts w:ascii="Times New Roman" w:hAnsi="Times New Roman" w:cs="Times New Roman"/>
          <w:b/>
          <w:bCs/>
          <w:sz w:val="24"/>
          <w:szCs w:val="24"/>
        </w:rPr>
        <w:t xml:space="preserve">Zhodnocení dopadů na rodiny, zejména s ohledem na plnění funkcí rodiny, s ohledem na počet vyživovaných členů, na případnou přítomnost hendikepovaných členů a rodiny samoživitelů, rodiny se třemi a více </w:t>
      </w:r>
      <w:r w:rsidRPr="00DF3FF5">
        <w:rPr>
          <w:rFonts w:ascii="Times New Roman" w:hAnsi="Times New Roman" w:cs="Times New Roman"/>
          <w:b/>
          <w:bCs/>
          <w:sz w:val="24"/>
          <w:szCs w:val="24"/>
        </w:rPr>
        <w:t>dětmi a další specifické životní situace, dále s</w:t>
      </w:r>
      <w:r w:rsidR="00160213" w:rsidRPr="00DF3F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F3FF5">
        <w:rPr>
          <w:rFonts w:ascii="Times New Roman" w:hAnsi="Times New Roman" w:cs="Times New Roman"/>
          <w:b/>
          <w:bCs/>
          <w:sz w:val="24"/>
          <w:szCs w:val="24"/>
        </w:rPr>
        <w:t>ohledem na posílení integrity a stability rodiny a posílení rodinné harmonie</w:t>
      </w:r>
      <w:r w:rsidRPr="008E08BD">
        <w:rPr>
          <w:rFonts w:ascii="Times New Roman" w:hAnsi="Times New Roman" w:cs="Times New Roman"/>
          <w:b/>
          <w:bCs/>
          <w:sz w:val="24"/>
          <w:szCs w:val="24"/>
        </w:rPr>
        <w:t>, lepší rovnováhy mezi prací a rodinou a na posílení mezigeneračních a širších příbuzenských vztahů</w:t>
      </w:r>
    </w:p>
    <w:p w14:paraId="5313151C" w14:textId="345AB9E4" w:rsidR="00A62802" w:rsidRPr="003C667A" w:rsidRDefault="00A62802" w:rsidP="00A628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667A">
        <w:rPr>
          <w:rFonts w:ascii="Times New Roman" w:hAnsi="Times New Roman" w:cs="Times New Roman"/>
          <w:sz w:val="24"/>
          <w:szCs w:val="24"/>
        </w:rPr>
        <w:lastRenderedPageBreak/>
        <w:t xml:space="preserve">Navrhovaná právní úprava bude mít pozitivní dopady na rodiny s nedostatečnými příjmy, mezi které patří rodiny s handicapovanými členy, rodiny s malými dětmi a rodiny s vícero dětmi. Navrhovaná </w:t>
      </w:r>
      <w:r w:rsidR="000C5806">
        <w:rPr>
          <w:rFonts w:ascii="Times New Roman" w:hAnsi="Times New Roman" w:cs="Times New Roman"/>
          <w:sz w:val="24"/>
          <w:szCs w:val="24"/>
        </w:rPr>
        <w:t xml:space="preserve">právní </w:t>
      </w:r>
      <w:r w:rsidRPr="003C667A">
        <w:rPr>
          <w:rFonts w:ascii="Times New Roman" w:hAnsi="Times New Roman" w:cs="Times New Roman"/>
          <w:sz w:val="24"/>
          <w:szCs w:val="24"/>
        </w:rPr>
        <w:t xml:space="preserve">úprava může posílit integritu a stabilitu rodin a </w:t>
      </w:r>
      <w:r w:rsidR="00160213">
        <w:rPr>
          <w:rFonts w:ascii="Times New Roman" w:hAnsi="Times New Roman" w:cs="Times New Roman"/>
          <w:sz w:val="24"/>
          <w:szCs w:val="24"/>
        </w:rPr>
        <w:t xml:space="preserve">přispět k </w:t>
      </w:r>
      <w:r w:rsidRPr="003C667A">
        <w:rPr>
          <w:rFonts w:ascii="Times New Roman" w:hAnsi="Times New Roman" w:cs="Times New Roman"/>
          <w:sz w:val="24"/>
          <w:szCs w:val="24"/>
        </w:rPr>
        <w:t>rodinné harmoni</w:t>
      </w:r>
      <w:r w:rsidR="00160213">
        <w:rPr>
          <w:rFonts w:ascii="Times New Roman" w:hAnsi="Times New Roman" w:cs="Times New Roman"/>
          <w:sz w:val="24"/>
          <w:szCs w:val="24"/>
        </w:rPr>
        <w:t>i</w:t>
      </w:r>
      <w:r w:rsidRPr="003C667A">
        <w:rPr>
          <w:rFonts w:ascii="Times New Roman" w:hAnsi="Times New Roman" w:cs="Times New Roman"/>
          <w:sz w:val="24"/>
          <w:szCs w:val="24"/>
        </w:rPr>
        <w:t xml:space="preserve">, umožní </w:t>
      </w:r>
      <w:r w:rsidR="000C5806">
        <w:rPr>
          <w:rFonts w:ascii="Times New Roman" w:hAnsi="Times New Roman" w:cs="Times New Roman"/>
          <w:sz w:val="24"/>
          <w:szCs w:val="24"/>
        </w:rPr>
        <w:t xml:space="preserve">zejména rodičům dětí </w:t>
      </w:r>
      <w:r w:rsidRPr="003C667A">
        <w:rPr>
          <w:rFonts w:ascii="Times New Roman" w:hAnsi="Times New Roman" w:cs="Times New Roman"/>
          <w:sz w:val="24"/>
          <w:szCs w:val="24"/>
        </w:rPr>
        <w:t>lepší rovnováhu mezi prací a rodinou</w:t>
      </w:r>
      <w:r w:rsidR="000C5806">
        <w:rPr>
          <w:rFonts w:ascii="Times New Roman" w:hAnsi="Times New Roman" w:cs="Times New Roman"/>
          <w:sz w:val="24"/>
          <w:szCs w:val="24"/>
        </w:rPr>
        <w:t>.</w:t>
      </w:r>
    </w:p>
    <w:p w14:paraId="214F453D" w14:textId="22960E40" w:rsidR="00A62802" w:rsidRDefault="00A62802" w:rsidP="009F6D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802">
        <w:rPr>
          <w:rFonts w:ascii="Times New Roman" w:hAnsi="Times New Roman" w:cs="Times New Roman"/>
          <w:b/>
          <w:bCs/>
          <w:sz w:val="24"/>
          <w:szCs w:val="24"/>
        </w:rPr>
        <w:t>Zhodnocení územních dopadů, včetně dopadů na územní samosprávné celky</w:t>
      </w:r>
    </w:p>
    <w:p w14:paraId="171075D9" w14:textId="774FFB4D" w:rsidR="00A62802" w:rsidRPr="00A62802" w:rsidRDefault="00A62802" w:rsidP="009F6D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802">
        <w:rPr>
          <w:rFonts w:ascii="Times New Roman" w:hAnsi="Times New Roman" w:cs="Times New Roman"/>
          <w:sz w:val="24"/>
          <w:szCs w:val="24"/>
        </w:rPr>
        <w:t xml:space="preserve">Návrh nemá </w:t>
      </w:r>
      <w:r>
        <w:rPr>
          <w:rFonts w:ascii="Times New Roman" w:hAnsi="Times New Roman" w:cs="Times New Roman"/>
          <w:sz w:val="24"/>
          <w:szCs w:val="24"/>
        </w:rPr>
        <w:t>územní dopady ani přímé dopady na územní samosprávné celky.</w:t>
      </w:r>
    </w:p>
    <w:p w14:paraId="27AEF855" w14:textId="5F8D6F7F" w:rsidR="005611BD" w:rsidRPr="008E08BD" w:rsidRDefault="008E08BD" w:rsidP="009F6D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8BD">
        <w:rPr>
          <w:rFonts w:ascii="Times New Roman" w:hAnsi="Times New Roman" w:cs="Times New Roman"/>
          <w:b/>
          <w:bCs/>
          <w:sz w:val="24"/>
          <w:szCs w:val="24"/>
        </w:rPr>
        <w:t>Zhodnocení souladu navrhovaného řešení se zásadami tvorby digitálně přívětivé legislativy, včetně zhodnocení rizika vyloučení nebo omezení možnosti přístupu specifických skupin osob k některým službám v důsledku digitalizace jejich poskytování (digitální vyloučení)</w:t>
      </w:r>
    </w:p>
    <w:p w14:paraId="72B66684" w14:textId="3E8E545D" w:rsidR="008E08BD" w:rsidRDefault="003C667A" w:rsidP="009F6DB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Navrhovaná úprava nemá negativní dopady v této oblasti, </w:t>
      </w:r>
      <w:r w:rsidRPr="004F289F">
        <w:rPr>
          <w:rFonts w:ascii="Times New Roman" w:hAnsi="Times New Roman" w:cs="Times New Roman"/>
          <w:sz w:val="24"/>
          <w:szCs w:val="24"/>
        </w:rPr>
        <w:t xml:space="preserve">jedná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4F289F">
        <w:rPr>
          <w:rFonts w:ascii="Times New Roman" w:hAnsi="Times New Roman" w:cs="Times New Roman"/>
          <w:sz w:val="24"/>
          <w:szCs w:val="24"/>
        </w:rPr>
        <w:t>o změny technického charakteru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63E91D" w14:textId="05ED6631" w:rsidR="00486479" w:rsidRPr="004F289F" w:rsidRDefault="007227C4" w:rsidP="009F6DB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89F">
        <w:rPr>
          <w:rFonts w:ascii="Times New Roman" w:hAnsi="Times New Roman" w:cs="Times New Roman"/>
          <w:b/>
          <w:sz w:val="24"/>
          <w:szCs w:val="24"/>
          <w:u w:val="single"/>
        </w:rPr>
        <w:t>Zvláštní část</w:t>
      </w:r>
    </w:p>
    <w:p w14:paraId="72F2FDE2" w14:textId="77777777" w:rsidR="001B2B36" w:rsidRPr="004F289F" w:rsidRDefault="001B2B36" w:rsidP="009F6DB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89F">
        <w:rPr>
          <w:rFonts w:ascii="Times New Roman" w:hAnsi="Times New Roman" w:cs="Times New Roman"/>
          <w:b/>
          <w:sz w:val="24"/>
          <w:szCs w:val="24"/>
        </w:rPr>
        <w:t>K § 1 a 2</w:t>
      </w:r>
    </w:p>
    <w:p w14:paraId="6F02CD25" w14:textId="6AC2C9F0" w:rsidR="001B2B36" w:rsidRPr="004F289F" w:rsidRDefault="001B2B36" w:rsidP="009F6D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F289F">
        <w:rPr>
          <w:rFonts w:ascii="Times New Roman" w:hAnsi="Times New Roman"/>
          <w:sz w:val="24"/>
          <w:szCs w:val="24"/>
        </w:rPr>
        <w:t>Stanovují se konkrétní výše částek nákladů srovnatelných s nájemným, výše částek, které se započítávají za pevná paliva, a výše částek normativních nákladů na bydlení.</w:t>
      </w:r>
    </w:p>
    <w:p w14:paraId="598502FE" w14:textId="3C841D41" w:rsidR="001B2B36" w:rsidRPr="004F289F" w:rsidRDefault="001B2B36" w:rsidP="009F6D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F289F">
        <w:rPr>
          <w:rFonts w:ascii="Times New Roman" w:hAnsi="Times New Roman"/>
          <w:sz w:val="24"/>
          <w:szCs w:val="24"/>
        </w:rPr>
        <w:t>Normativní náklady na bydlení, které jsou využívány při výpočtu příspěvku na bydlení, v sobě zahrnují nájemné nebo částky srovnatelné s</w:t>
      </w:r>
      <w:r w:rsidR="00885D87" w:rsidRPr="004F289F">
        <w:rPr>
          <w:rFonts w:ascii="Times New Roman" w:hAnsi="Times New Roman"/>
          <w:sz w:val="24"/>
          <w:szCs w:val="24"/>
        </w:rPr>
        <w:t> </w:t>
      </w:r>
      <w:r w:rsidRPr="004F289F">
        <w:rPr>
          <w:rFonts w:ascii="Times New Roman" w:hAnsi="Times New Roman"/>
          <w:sz w:val="24"/>
          <w:szCs w:val="24"/>
        </w:rPr>
        <w:t>nájemným</w:t>
      </w:r>
      <w:r w:rsidR="00885D87" w:rsidRPr="004F289F">
        <w:rPr>
          <w:rFonts w:ascii="Times New Roman" w:hAnsi="Times New Roman"/>
          <w:sz w:val="24"/>
          <w:szCs w:val="24"/>
        </w:rPr>
        <w:t>,</w:t>
      </w:r>
      <w:r w:rsidRPr="004F289F">
        <w:rPr>
          <w:rFonts w:ascii="Times New Roman" w:hAnsi="Times New Roman"/>
          <w:sz w:val="24"/>
          <w:szCs w:val="24"/>
        </w:rPr>
        <w:t xml:space="preserve"> </w:t>
      </w:r>
      <w:r w:rsidR="00885D87" w:rsidRPr="004F289F">
        <w:rPr>
          <w:rFonts w:ascii="Times New Roman" w:hAnsi="Times New Roman"/>
          <w:sz w:val="24"/>
          <w:szCs w:val="24"/>
        </w:rPr>
        <w:t>náklady za plyn, elektřinu a náklady za</w:t>
      </w:r>
      <w:r w:rsidR="00330156">
        <w:rPr>
          <w:rFonts w:ascii="Times New Roman" w:hAnsi="Times New Roman"/>
          <w:sz w:val="24"/>
          <w:szCs w:val="24"/>
        </w:rPr>
        <w:t> </w:t>
      </w:r>
      <w:r w:rsidR="00885D87" w:rsidRPr="004F289F">
        <w:rPr>
          <w:rFonts w:ascii="Times New Roman" w:hAnsi="Times New Roman"/>
          <w:sz w:val="24"/>
          <w:szCs w:val="24"/>
        </w:rPr>
        <w:t>plnění poskytovan</w:t>
      </w:r>
      <w:r w:rsidR="008065CC">
        <w:rPr>
          <w:rFonts w:ascii="Times New Roman" w:hAnsi="Times New Roman"/>
          <w:sz w:val="24"/>
          <w:szCs w:val="24"/>
        </w:rPr>
        <w:t>á</w:t>
      </w:r>
      <w:r w:rsidR="00885D87" w:rsidRPr="004F289F">
        <w:rPr>
          <w:rFonts w:ascii="Times New Roman" w:hAnsi="Times New Roman"/>
          <w:sz w:val="24"/>
          <w:szCs w:val="24"/>
        </w:rPr>
        <w:t xml:space="preserve"> s užíváním bytu, kterými se rozumí náklady za dodávku tepla (dálkové vytápění) a centralizované poskytování teplé vody, dodá</w:t>
      </w:r>
      <w:r w:rsidR="008D33F2" w:rsidRPr="004F289F">
        <w:rPr>
          <w:rFonts w:ascii="Times New Roman" w:hAnsi="Times New Roman"/>
          <w:sz w:val="24"/>
          <w:szCs w:val="24"/>
        </w:rPr>
        <w:t>vku vody z vodovodů a vodáren a </w:t>
      </w:r>
      <w:r w:rsidR="00885D87" w:rsidRPr="004F289F">
        <w:rPr>
          <w:rFonts w:ascii="Times New Roman" w:hAnsi="Times New Roman"/>
          <w:sz w:val="24"/>
          <w:szCs w:val="24"/>
        </w:rPr>
        <w:t xml:space="preserve">odvádění odpadních vod, provoz výtahu, osvětlení společných prostor v domě, úklid společných prostor v domě, odvoz odpadních vod a čištění jímek, vybavení bytu společnou televizní a rozhlasovou anténou a odvoz komunálního odpadu, případně náklady za pevná paliva. </w:t>
      </w:r>
      <w:r w:rsidRPr="004F289F">
        <w:rPr>
          <w:rFonts w:ascii="Times New Roman" w:hAnsi="Times New Roman"/>
          <w:sz w:val="24"/>
          <w:szCs w:val="24"/>
        </w:rPr>
        <w:t>Metodika výpočtu těchto nákladů je dána zákonem o státní sociální podpoře</w:t>
      </w:r>
      <w:r w:rsidR="008D33F2" w:rsidRPr="004F289F">
        <w:rPr>
          <w:rFonts w:ascii="Times New Roman" w:hAnsi="Times New Roman"/>
          <w:sz w:val="24"/>
          <w:szCs w:val="24"/>
        </w:rPr>
        <w:t xml:space="preserve">, </w:t>
      </w:r>
      <w:r w:rsidRPr="004F289F">
        <w:rPr>
          <w:rFonts w:ascii="Times New Roman" w:hAnsi="Times New Roman"/>
          <w:sz w:val="24"/>
          <w:szCs w:val="24"/>
        </w:rPr>
        <w:t>propočet výše normativních nákladů se odvíjí od vývoje cen jednotliv</w:t>
      </w:r>
      <w:r w:rsidR="008D33F2" w:rsidRPr="004F289F">
        <w:rPr>
          <w:rFonts w:ascii="Times New Roman" w:hAnsi="Times New Roman"/>
          <w:sz w:val="24"/>
          <w:szCs w:val="24"/>
        </w:rPr>
        <w:t>ých komodit v oblasti bydlení</w:t>
      </w:r>
      <w:r w:rsidR="00F04BD4">
        <w:rPr>
          <w:rFonts w:ascii="Times New Roman" w:hAnsi="Times New Roman"/>
          <w:sz w:val="24"/>
          <w:szCs w:val="24"/>
        </w:rPr>
        <w:t>.</w:t>
      </w:r>
    </w:p>
    <w:p w14:paraId="09C3C9B4" w14:textId="77777777" w:rsidR="001B2B36" w:rsidRPr="004F289F" w:rsidRDefault="001B2B36" w:rsidP="009F6DB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F289F">
        <w:rPr>
          <w:rFonts w:ascii="Times New Roman" w:hAnsi="Times New Roman"/>
          <w:b/>
          <w:sz w:val="24"/>
          <w:szCs w:val="24"/>
        </w:rPr>
        <w:t>K § 3</w:t>
      </w:r>
    </w:p>
    <w:p w14:paraId="371DC041" w14:textId="71D81D09" w:rsidR="009C4B73" w:rsidRPr="004F289F" w:rsidRDefault="009C4B73" w:rsidP="009F6D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F289F">
        <w:rPr>
          <w:rFonts w:ascii="Times New Roman" w:hAnsi="Times New Roman"/>
          <w:sz w:val="24"/>
          <w:szCs w:val="24"/>
        </w:rPr>
        <w:t>Dávky státní sociální podpory se vyplácejí měsíčně poz</w:t>
      </w:r>
      <w:r w:rsidR="008D33F2" w:rsidRPr="004F289F">
        <w:rPr>
          <w:rFonts w:ascii="Times New Roman" w:hAnsi="Times New Roman"/>
          <w:sz w:val="24"/>
          <w:szCs w:val="24"/>
        </w:rPr>
        <w:t>adu. Proto se v měsíci lednu 202</w:t>
      </w:r>
      <w:r w:rsidR="00F36A41">
        <w:rPr>
          <w:rFonts w:ascii="Times New Roman" w:hAnsi="Times New Roman"/>
          <w:sz w:val="24"/>
          <w:szCs w:val="24"/>
        </w:rPr>
        <w:t>5</w:t>
      </w:r>
      <w:r w:rsidRPr="004F289F">
        <w:rPr>
          <w:rFonts w:ascii="Times New Roman" w:hAnsi="Times New Roman"/>
          <w:sz w:val="24"/>
          <w:szCs w:val="24"/>
        </w:rPr>
        <w:t xml:space="preserve"> budou vyplácet dávky, na něž vznikl nárok za prosinec 20</w:t>
      </w:r>
      <w:r w:rsidR="007504D2" w:rsidRPr="004F289F">
        <w:rPr>
          <w:rFonts w:ascii="Times New Roman" w:hAnsi="Times New Roman"/>
          <w:sz w:val="24"/>
          <w:szCs w:val="24"/>
        </w:rPr>
        <w:t>2</w:t>
      </w:r>
      <w:r w:rsidR="00F36A41">
        <w:rPr>
          <w:rFonts w:ascii="Times New Roman" w:hAnsi="Times New Roman"/>
          <w:sz w:val="24"/>
          <w:szCs w:val="24"/>
        </w:rPr>
        <w:t>4</w:t>
      </w:r>
      <w:r w:rsidRPr="004F289F">
        <w:rPr>
          <w:rFonts w:ascii="Times New Roman" w:hAnsi="Times New Roman"/>
          <w:sz w:val="24"/>
          <w:szCs w:val="24"/>
        </w:rPr>
        <w:t>; aby při posuzování nároku na příspěvek na bydlení za měsíc prosinec 20</w:t>
      </w:r>
      <w:r w:rsidR="007504D2" w:rsidRPr="004F289F">
        <w:rPr>
          <w:rFonts w:ascii="Times New Roman" w:hAnsi="Times New Roman"/>
          <w:sz w:val="24"/>
          <w:szCs w:val="24"/>
        </w:rPr>
        <w:t>2</w:t>
      </w:r>
      <w:r w:rsidR="00AE7D58">
        <w:rPr>
          <w:rFonts w:ascii="Times New Roman" w:hAnsi="Times New Roman"/>
          <w:sz w:val="24"/>
          <w:szCs w:val="24"/>
        </w:rPr>
        <w:t>4</w:t>
      </w:r>
      <w:r w:rsidRPr="004F289F">
        <w:rPr>
          <w:rFonts w:ascii="Times New Roman" w:hAnsi="Times New Roman"/>
          <w:sz w:val="24"/>
          <w:szCs w:val="24"/>
        </w:rPr>
        <w:t xml:space="preserve"> nevznikly pochybnosti, ke kterým částkám nákladů na</w:t>
      </w:r>
      <w:r w:rsidR="00F57625" w:rsidRPr="004F289F">
        <w:rPr>
          <w:rFonts w:ascii="Times New Roman" w:hAnsi="Times New Roman"/>
          <w:sz w:val="24"/>
          <w:szCs w:val="24"/>
        </w:rPr>
        <w:t> </w:t>
      </w:r>
      <w:r w:rsidRPr="004F289F">
        <w:rPr>
          <w:rFonts w:ascii="Times New Roman" w:hAnsi="Times New Roman"/>
          <w:sz w:val="24"/>
          <w:szCs w:val="24"/>
        </w:rPr>
        <w:t>bydlení se přihlédne, stanoví se výslovně, že nově navrhované částky se použijí poprvé pro</w:t>
      </w:r>
      <w:r w:rsidR="00F57625" w:rsidRPr="004F289F">
        <w:rPr>
          <w:rFonts w:ascii="Times New Roman" w:hAnsi="Times New Roman"/>
          <w:sz w:val="24"/>
          <w:szCs w:val="24"/>
        </w:rPr>
        <w:t> </w:t>
      </w:r>
      <w:r w:rsidRPr="004F289F">
        <w:rPr>
          <w:rFonts w:ascii="Times New Roman" w:hAnsi="Times New Roman"/>
          <w:sz w:val="24"/>
          <w:szCs w:val="24"/>
        </w:rPr>
        <w:t xml:space="preserve">stanovení příspěvku na bydlení za leden </w:t>
      </w:r>
      <w:r w:rsidR="008D33F2" w:rsidRPr="004F289F">
        <w:rPr>
          <w:rFonts w:ascii="Times New Roman" w:hAnsi="Times New Roman"/>
          <w:sz w:val="24"/>
          <w:szCs w:val="24"/>
        </w:rPr>
        <w:t>202</w:t>
      </w:r>
      <w:r w:rsidR="00F36A41">
        <w:rPr>
          <w:rFonts w:ascii="Times New Roman" w:hAnsi="Times New Roman"/>
          <w:sz w:val="24"/>
          <w:szCs w:val="24"/>
        </w:rPr>
        <w:t>5</w:t>
      </w:r>
      <w:r w:rsidRPr="004F289F">
        <w:rPr>
          <w:rFonts w:ascii="Times New Roman" w:hAnsi="Times New Roman"/>
          <w:sz w:val="24"/>
          <w:szCs w:val="24"/>
        </w:rPr>
        <w:t>.</w:t>
      </w:r>
    </w:p>
    <w:p w14:paraId="47E78530" w14:textId="77777777" w:rsidR="009C4B73" w:rsidRPr="004F289F" w:rsidRDefault="009C4B73" w:rsidP="009F6DB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F289F">
        <w:rPr>
          <w:rFonts w:ascii="Times New Roman" w:hAnsi="Times New Roman"/>
          <w:b/>
          <w:sz w:val="24"/>
          <w:szCs w:val="24"/>
        </w:rPr>
        <w:t xml:space="preserve">K § 4 </w:t>
      </w:r>
    </w:p>
    <w:p w14:paraId="17ED4BDF" w14:textId="5C4D171B" w:rsidR="001B2B36" w:rsidRPr="004F289F" w:rsidRDefault="009F6DB0" w:rsidP="009F6D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F6DB0">
        <w:rPr>
          <w:rFonts w:ascii="Times New Roman" w:hAnsi="Times New Roman" w:cs="Times New Roman"/>
          <w:sz w:val="24"/>
          <w:szCs w:val="24"/>
        </w:rPr>
        <w:t xml:space="preserve">Je </w:t>
      </w:r>
      <w:r w:rsidR="009C4B73" w:rsidRPr="009F6DB0">
        <w:rPr>
          <w:rFonts w:ascii="Times New Roman" w:hAnsi="Times New Roman" w:cs="Times New Roman"/>
          <w:sz w:val="24"/>
          <w:szCs w:val="24"/>
        </w:rPr>
        <w:t>nezbytné, aby byly uvedené částky nově stanoveny k</w:t>
      </w:r>
      <w:r w:rsidR="003A189B" w:rsidRPr="009F6DB0">
        <w:rPr>
          <w:rFonts w:ascii="Times New Roman" w:hAnsi="Times New Roman" w:cs="Times New Roman"/>
          <w:sz w:val="24"/>
          <w:szCs w:val="24"/>
        </w:rPr>
        <w:t xml:space="preserve"> </w:t>
      </w:r>
      <w:r w:rsidR="009C4B73" w:rsidRPr="009F6DB0">
        <w:rPr>
          <w:rFonts w:ascii="Times New Roman" w:hAnsi="Times New Roman" w:cs="Times New Roman"/>
          <w:sz w:val="24"/>
          <w:szCs w:val="24"/>
        </w:rPr>
        <w:t>1.</w:t>
      </w:r>
      <w:r w:rsidR="003A189B" w:rsidRPr="009F6DB0">
        <w:rPr>
          <w:rFonts w:ascii="Times New Roman" w:hAnsi="Times New Roman" w:cs="Times New Roman"/>
          <w:sz w:val="24"/>
          <w:szCs w:val="24"/>
        </w:rPr>
        <w:t> </w:t>
      </w:r>
      <w:r w:rsidR="000F2FD2" w:rsidRPr="009F6DB0">
        <w:rPr>
          <w:rFonts w:ascii="Times New Roman" w:hAnsi="Times New Roman" w:cs="Times New Roman"/>
          <w:sz w:val="24"/>
          <w:szCs w:val="24"/>
        </w:rPr>
        <w:t>lednu 202</w:t>
      </w:r>
      <w:r w:rsidRPr="009F6DB0">
        <w:rPr>
          <w:rFonts w:ascii="Times New Roman" w:hAnsi="Times New Roman" w:cs="Times New Roman"/>
          <w:sz w:val="24"/>
          <w:szCs w:val="24"/>
        </w:rPr>
        <w:t>5</w:t>
      </w:r>
      <w:r w:rsidR="009C4B73" w:rsidRPr="009F6DB0">
        <w:rPr>
          <w:rFonts w:ascii="Times New Roman" w:hAnsi="Times New Roman" w:cs="Times New Roman"/>
          <w:sz w:val="24"/>
          <w:szCs w:val="24"/>
        </w:rPr>
        <w:t xml:space="preserve"> tak, aby bylo možné o</w:t>
      </w:r>
      <w:r w:rsidRPr="009F6DB0">
        <w:rPr>
          <w:rFonts w:ascii="Times New Roman" w:hAnsi="Times New Roman" w:cs="Times New Roman"/>
          <w:sz w:val="24"/>
          <w:szCs w:val="24"/>
        </w:rPr>
        <w:t> </w:t>
      </w:r>
      <w:r w:rsidR="009C4B73" w:rsidRPr="009F6DB0">
        <w:rPr>
          <w:rFonts w:ascii="Times New Roman" w:hAnsi="Times New Roman" w:cs="Times New Roman"/>
          <w:sz w:val="24"/>
          <w:szCs w:val="24"/>
        </w:rPr>
        <w:t>nároku na příspěvek na bydlení rozhodovat.</w:t>
      </w:r>
      <w:r w:rsidR="009C4B73" w:rsidRPr="004F2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800EB" w14:textId="77777777" w:rsidR="004B7540" w:rsidRPr="004F289F" w:rsidRDefault="004B7540" w:rsidP="004627C7">
      <w:pPr>
        <w:jc w:val="both"/>
        <w:rPr>
          <w:rFonts w:ascii="Times New Roman" w:hAnsi="Times New Roman"/>
          <w:sz w:val="24"/>
          <w:szCs w:val="24"/>
        </w:rPr>
      </w:pPr>
    </w:p>
    <w:sectPr w:rsidR="004B7540" w:rsidRPr="004F289F" w:rsidSect="00B91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D9BD" w14:textId="77777777" w:rsidR="00DD2C4F" w:rsidRDefault="00DD2C4F" w:rsidP="00214F5F">
      <w:pPr>
        <w:spacing w:after="0" w:line="240" w:lineRule="auto"/>
      </w:pPr>
      <w:r>
        <w:separator/>
      </w:r>
    </w:p>
  </w:endnote>
  <w:endnote w:type="continuationSeparator" w:id="0">
    <w:p w14:paraId="26A82531" w14:textId="77777777" w:rsidR="00DD2C4F" w:rsidRDefault="00DD2C4F" w:rsidP="0021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9677" w14:textId="77777777" w:rsidR="0034560F" w:rsidRDefault="00345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701161422"/>
      <w:docPartObj>
        <w:docPartGallery w:val="Page Numbers (Bottom of Page)"/>
        <w:docPartUnique/>
      </w:docPartObj>
    </w:sdtPr>
    <w:sdtContent>
      <w:p w14:paraId="221EB291" w14:textId="77777777" w:rsidR="00B91124" w:rsidRPr="0034560F" w:rsidRDefault="00B91124" w:rsidP="0034560F">
        <w:pPr>
          <w:pStyle w:val="Zpat"/>
          <w:jc w:val="center"/>
          <w:rPr>
            <w:rFonts w:ascii="Times New Roman" w:hAnsi="Times New Roman" w:cs="Times New Roman"/>
          </w:rPr>
        </w:pPr>
        <w:r w:rsidRPr="0034560F">
          <w:rPr>
            <w:rFonts w:ascii="Times New Roman" w:hAnsi="Times New Roman" w:cs="Times New Roman"/>
          </w:rPr>
          <w:fldChar w:fldCharType="begin"/>
        </w:r>
        <w:r w:rsidRPr="0034560F">
          <w:rPr>
            <w:rFonts w:ascii="Times New Roman" w:hAnsi="Times New Roman" w:cs="Times New Roman"/>
          </w:rPr>
          <w:instrText>PAGE   \* MERGEFORMAT</w:instrText>
        </w:r>
        <w:r w:rsidRPr="0034560F">
          <w:rPr>
            <w:rFonts w:ascii="Times New Roman" w:hAnsi="Times New Roman" w:cs="Times New Roman"/>
          </w:rPr>
          <w:fldChar w:fldCharType="separate"/>
        </w:r>
        <w:r w:rsidRPr="0034560F">
          <w:rPr>
            <w:rFonts w:ascii="Times New Roman" w:hAnsi="Times New Roman" w:cs="Times New Roman"/>
            <w:noProof/>
          </w:rPr>
          <w:t>8</w:t>
        </w:r>
        <w:r w:rsidRPr="0034560F">
          <w:rPr>
            <w:rFonts w:ascii="Times New Roman" w:hAnsi="Times New Roman" w:cs="Times New Roman"/>
          </w:rPr>
          <w:fldChar w:fldCharType="end"/>
        </w:r>
      </w:p>
    </w:sdtContent>
  </w:sdt>
  <w:p w14:paraId="0EB53A52" w14:textId="77777777" w:rsidR="00214F5F" w:rsidRDefault="00214F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7CE" w14:textId="77777777" w:rsidR="0034560F" w:rsidRDefault="00345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AF64" w14:textId="77777777" w:rsidR="00DD2C4F" w:rsidRDefault="00DD2C4F" w:rsidP="00214F5F">
      <w:pPr>
        <w:spacing w:after="0" w:line="240" w:lineRule="auto"/>
      </w:pPr>
      <w:r>
        <w:separator/>
      </w:r>
    </w:p>
  </w:footnote>
  <w:footnote w:type="continuationSeparator" w:id="0">
    <w:p w14:paraId="4482E6F3" w14:textId="77777777" w:rsidR="00DD2C4F" w:rsidRDefault="00DD2C4F" w:rsidP="0021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9F3B" w14:textId="77777777" w:rsidR="0034560F" w:rsidRDefault="00345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AE22" w14:textId="77777777" w:rsidR="0034560F" w:rsidRDefault="003456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ECA3" w14:textId="77777777" w:rsidR="0034560F" w:rsidRDefault="00345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E39"/>
    <w:multiLevelType w:val="hybridMultilevel"/>
    <w:tmpl w:val="DAF6A07A"/>
    <w:lvl w:ilvl="0" w:tplc="400681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F7077"/>
    <w:multiLevelType w:val="hybridMultilevel"/>
    <w:tmpl w:val="D40425A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1502C"/>
    <w:multiLevelType w:val="hybridMultilevel"/>
    <w:tmpl w:val="B35A1ED4"/>
    <w:lvl w:ilvl="0" w:tplc="A32419A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85606"/>
    <w:multiLevelType w:val="hybridMultilevel"/>
    <w:tmpl w:val="B8EEF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BAA"/>
    <w:multiLevelType w:val="hybridMultilevel"/>
    <w:tmpl w:val="7B7A9AEA"/>
    <w:lvl w:ilvl="0" w:tplc="53DA4A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C3D81"/>
    <w:multiLevelType w:val="hybridMultilevel"/>
    <w:tmpl w:val="E1644E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F5116"/>
    <w:multiLevelType w:val="hybridMultilevel"/>
    <w:tmpl w:val="FAAC3BD8"/>
    <w:lvl w:ilvl="0" w:tplc="FCB09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121A"/>
    <w:multiLevelType w:val="hybridMultilevel"/>
    <w:tmpl w:val="3E803E9A"/>
    <w:lvl w:ilvl="0" w:tplc="03EA74B2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174AAF"/>
    <w:multiLevelType w:val="hybridMultilevel"/>
    <w:tmpl w:val="696A8734"/>
    <w:lvl w:ilvl="0" w:tplc="400681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67BCC"/>
    <w:multiLevelType w:val="hybridMultilevel"/>
    <w:tmpl w:val="1B68D70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4E3AA7"/>
    <w:multiLevelType w:val="hybridMultilevel"/>
    <w:tmpl w:val="8DB4C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3756C"/>
    <w:multiLevelType w:val="hybridMultilevel"/>
    <w:tmpl w:val="184A4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3269D"/>
    <w:multiLevelType w:val="hybridMultilevel"/>
    <w:tmpl w:val="AA6A0E78"/>
    <w:lvl w:ilvl="0" w:tplc="3B4AE9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15FB0"/>
    <w:multiLevelType w:val="hybridMultilevel"/>
    <w:tmpl w:val="D682C4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3E3BC4"/>
    <w:multiLevelType w:val="hybridMultilevel"/>
    <w:tmpl w:val="DBB2F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33763"/>
    <w:multiLevelType w:val="hybridMultilevel"/>
    <w:tmpl w:val="F58247A0"/>
    <w:lvl w:ilvl="0" w:tplc="A3241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90A97"/>
    <w:multiLevelType w:val="hybridMultilevel"/>
    <w:tmpl w:val="12803F4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62238"/>
    <w:multiLevelType w:val="hybridMultilevel"/>
    <w:tmpl w:val="F816E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06CA8"/>
    <w:multiLevelType w:val="hybridMultilevel"/>
    <w:tmpl w:val="47225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C29AA"/>
    <w:multiLevelType w:val="hybridMultilevel"/>
    <w:tmpl w:val="02024FB2"/>
    <w:lvl w:ilvl="0" w:tplc="A32419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C0788"/>
    <w:multiLevelType w:val="hybridMultilevel"/>
    <w:tmpl w:val="BFA808E4"/>
    <w:lvl w:ilvl="0" w:tplc="59161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50CFD4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B72C984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45ECF"/>
    <w:multiLevelType w:val="hybridMultilevel"/>
    <w:tmpl w:val="B618330A"/>
    <w:lvl w:ilvl="0" w:tplc="A32419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F1A1F"/>
    <w:multiLevelType w:val="multilevel"/>
    <w:tmpl w:val="9D66CFA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C9B3D06"/>
    <w:multiLevelType w:val="hybridMultilevel"/>
    <w:tmpl w:val="A63E0FA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82D1D17"/>
    <w:multiLevelType w:val="hybridMultilevel"/>
    <w:tmpl w:val="629216D6"/>
    <w:lvl w:ilvl="0" w:tplc="A3241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D268E"/>
    <w:multiLevelType w:val="hybridMultilevel"/>
    <w:tmpl w:val="09F2F902"/>
    <w:lvl w:ilvl="0" w:tplc="562659E8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CB91A5F"/>
    <w:multiLevelType w:val="hybridMultilevel"/>
    <w:tmpl w:val="A288B24A"/>
    <w:lvl w:ilvl="0" w:tplc="23D648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9030B"/>
    <w:multiLevelType w:val="hybridMultilevel"/>
    <w:tmpl w:val="00725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63556">
    <w:abstractNumId w:val="18"/>
  </w:num>
  <w:num w:numId="2" w16cid:durableId="358555200">
    <w:abstractNumId w:val="16"/>
  </w:num>
  <w:num w:numId="3" w16cid:durableId="177158046">
    <w:abstractNumId w:val="11"/>
  </w:num>
  <w:num w:numId="4" w16cid:durableId="1140540535">
    <w:abstractNumId w:val="27"/>
  </w:num>
  <w:num w:numId="5" w16cid:durableId="519273573">
    <w:abstractNumId w:val="3"/>
  </w:num>
  <w:num w:numId="6" w16cid:durableId="1491798380">
    <w:abstractNumId w:val="6"/>
  </w:num>
  <w:num w:numId="7" w16cid:durableId="1536775528">
    <w:abstractNumId w:val="4"/>
  </w:num>
  <w:num w:numId="8" w16cid:durableId="508914652">
    <w:abstractNumId w:val="8"/>
  </w:num>
  <w:num w:numId="9" w16cid:durableId="826673472">
    <w:abstractNumId w:val="0"/>
  </w:num>
  <w:num w:numId="10" w16cid:durableId="1618220998">
    <w:abstractNumId w:val="7"/>
  </w:num>
  <w:num w:numId="11" w16cid:durableId="43530148">
    <w:abstractNumId w:val="22"/>
  </w:num>
  <w:num w:numId="12" w16cid:durableId="140581732">
    <w:abstractNumId w:val="25"/>
  </w:num>
  <w:num w:numId="13" w16cid:durableId="1321888875">
    <w:abstractNumId w:val="2"/>
  </w:num>
  <w:num w:numId="14" w16cid:durableId="602224446">
    <w:abstractNumId w:val="15"/>
  </w:num>
  <w:num w:numId="15" w16cid:durableId="579365108">
    <w:abstractNumId w:val="20"/>
  </w:num>
  <w:num w:numId="16" w16cid:durableId="395934272">
    <w:abstractNumId w:val="1"/>
  </w:num>
  <w:num w:numId="17" w16cid:durableId="1919827856">
    <w:abstractNumId w:val="24"/>
  </w:num>
  <w:num w:numId="18" w16cid:durableId="1973828625">
    <w:abstractNumId w:val="21"/>
  </w:num>
  <w:num w:numId="19" w16cid:durableId="1615790820">
    <w:abstractNumId w:val="19"/>
  </w:num>
  <w:num w:numId="20" w16cid:durableId="664746221">
    <w:abstractNumId w:val="9"/>
  </w:num>
  <w:num w:numId="21" w16cid:durableId="1983534031">
    <w:abstractNumId w:val="14"/>
  </w:num>
  <w:num w:numId="22" w16cid:durableId="836388112">
    <w:abstractNumId w:val="26"/>
  </w:num>
  <w:num w:numId="23" w16cid:durableId="1445463599">
    <w:abstractNumId w:val="17"/>
  </w:num>
  <w:num w:numId="24" w16cid:durableId="20477527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324454">
    <w:abstractNumId w:val="10"/>
  </w:num>
  <w:num w:numId="26" w16cid:durableId="2094549667">
    <w:abstractNumId w:val="12"/>
  </w:num>
  <w:num w:numId="27" w16cid:durableId="1245068966">
    <w:abstractNumId w:val="13"/>
  </w:num>
  <w:num w:numId="28" w16cid:durableId="2079933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9"/>
    <w:rsid w:val="00025DB1"/>
    <w:rsid w:val="00045B7A"/>
    <w:rsid w:val="00053135"/>
    <w:rsid w:val="00055DE9"/>
    <w:rsid w:val="000614E7"/>
    <w:rsid w:val="0007068F"/>
    <w:rsid w:val="00072487"/>
    <w:rsid w:val="00084330"/>
    <w:rsid w:val="000C5469"/>
    <w:rsid w:val="000C5806"/>
    <w:rsid w:val="000D2BFD"/>
    <w:rsid w:val="000E172E"/>
    <w:rsid w:val="000E2767"/>
    <w:rsid w:val="000F209B"/>
    <w:rsid w:val="000F2FD2"/>
    <w:rsid w:val="000F3588"/>
    <w:rsid w:val="000F4CD6"/>
    <w:rsid w:val="001058A3"/>
    <w:rsid w:val="001167BE"/>
    <w:rsid w:val="00123C9D"/>
    <w:rsid w:val="00123EA0"/>
    <w:rsid w:val="00125A51"/>
    <w:rsid w:val="00126EB1"/>
    <w:rsid w:val="0014212F"/>
    <w:rsid w:val="00144399"/>
    <w:rsid w:val="00152264"/>
    <w:rsid w:val="00152FBB"/>
    <w:rsid w:val="00154437"/>
    <w:rsid w:val="00160213"/>
    <w:rsid w:val="001702F7"/>
    <w:rsid w:val="00180DAB"/>
    <w:rsid w:val="00195547"/>
    <w:rsid w:val="00195E0A"/>
    <w:rsid w:val="001B0B98"/>
    <w:rsid w:val="001B2A59"/>
    <w:rsid w:val="001B2B36"/>
    <w:rsid w:val="001B72B1"/>
    <w:rsid w:val="001C00C4"/>
    <w:rsid w:val="001C1595"/>
    <w:rsid w:val="001C6409"/>
    <w:rsid w:val="001E3662"/>
    <w:rsid w:val="001E392E"/>
    <w:rsid w:val="001E49AF"/>
    <w:rsid w:val="001F37EE"/>
    <w:rsid w:val="002000BE"/>
    <w:rsid w:val="0020142B"/>
    <w:rsid w:val="00202F26"/>
    <w:rsid w:val="0021496D"/>
    <w:rsid w:val="00214F5F"/>
    <w:rsid w:val="00220923"/>
    <w:rsid w:val="00220A7E"/>
    <w:rsid w:val="00221461"/>
    <w:rsid w:val="00222455"/>
    <w:rsid w:val="00234611"/>
    <w:rsid w:val="00234CA9"/>
    <w:rsid w:val="002479CA"/>
    <w:rsid w:val="0025408F"/>
    <w:rsid w:val="00263D4A"/>
    <w:rsid w:val="00270D3D"/>
    <w:rsid w:val="0029193C"/>
    <w:rsid w:val="00293FC6"/>
    <w:rsid w:val="002A0C9E"/>
    <w:rsid w:val="002A2CCF"/>
    <w:rsid w:val="002A4338"/>
    <w:rsid w:val="002A71E1"/>
    <w:rsid w:val="002B2BE2"/>
    <w:rsid w:val="002B3304"/>
    <w:rsid w:val="002D78BB"/>
    <w:rsid w:val="002F664D"/>
    <w:rsid w:val="00301A9D"/>
    <w:rsid w:val="00302D6C"/>
    <w:rsid w:val="00305B15"/>
    <w:rsid w:val="00306C57"/>
    <w:rsid w:val="0032150E"/>
    <w:rsid w:val="003225A4"/>
    <w:rsid w:val="00322727"/>
    <w:rsid w:val="00327F05"/>
    <w:rsid w:val="00330156"/>
    <w:rsid w:val="00337DE8"/>
    <w:rsid w:val="00344AE9"/>
    <w:rsid w:val="0034560F"/>
    <w:rsid w:val="00355883"/>
    <w:rsid w:val="00374280"/>
    <w:rsid w:val="003947E6"/>
    <w:rsid w:val="003948AC"/>
    <w:rsid w:val="00397450"/>
    <w:rsid w:val="003A189B"/>
    <w:rsid w:val="003A20F7"/>
    <w:rsid w:val="003C46CD"/>
    <w:rsid w:val="003C667A"/>
    <w:rsid w:val="003D30B0"/>
    <w:rsid w:val="003D4CDA"/>
    <w:rsid w:val="003D6B1B"/>
    <w:rsid w:val="003F73A1"/>
    <w:rsid w:val="00400584"/>
    <w:rsid w:val="00400E83"/>
    <w:rsid w:val="004019F7"/>
    <w:rsid w:val="00405BF1"/>
    <w:rsid w:val="00407467"/>
    <w:rsid w:val="004158A4"/>
    <w:rsid w:val="0042084B"/>
    <w:rsid w:val="004316BD"/>
    <w:rsid w:val="00434533"/>
    <w:rsid w:val="0043549B"/>
    <w:rsid w:val="004355B0"/>
    <w:rsid w:val="00452CE8"/>
    <w:rsid w:val="004627C7"/>
    <w:rsid w:val="004653E9"/>
    <w:rsid w:val="0047671A"/>
    <w:rsid w:val="00482A8E"/>
    <w:rsid w:val="00486479"/>
    <w:rsid w:val="004866D6"/>
    <w:rsid w:val="00486E4C"/>
    <w:rsid w:val="004B7540"/>
    <w:rsid w:val="004D6A7D"/>
    <w:rsid w:val="004E459F"/>
    <w:rsid w:val="004F289F"/>
    <w:rsid w:val="004F5497"/>
    <w:rsid w:val="004F7EA6"/>
    <w:rsid w:val="0050668C"/>
    <w:rsid w:val="00506B2B"/>
    <w:rsid w:val="00507F5D"/>
    <w:rsid w:val="00520DE7"/>
    <w:rsid w:val="00525A0B"/>
    <w:rsid w:val="0054152E"/>
    <w:rsid w:val="005439E8"/>
    <w:rsid w:val="00550F53"/>
    <w:rsid w:val="00560349"/>
    <w:rsid w:val="005611BD"/>
    <w:rsid w:val="00570FEA"/>
    <w:rsid w:val="00573398"/>
    <w:rsid w:val="00574F4E"/>
    <w:rsid w:val="00576DE0"/>
    <w:rsid w:val="00583909"/>
    <w:rsid w:val="00584DF8"/>
    <w:rsid w:val="00594920"/>
    <w:rsid w:val="005A17FC"/>
    <w:rsid w:val="005B317D"/>
    <w:rsid w:val="005C1C82"/>
    <w:rsid w:val="005C59C4"/>
    <w:rsid w:val="005E15AC"/>
    <w:rsid w:val="005E5AE3"/>
    <w:rsid w:val="005E7B25"/>
    <w:rsid w:val="005F2E31"/>
    <w:rsid w:val="005F4779"/>
    <w:rsid w:val="0060235C"/>
    <w:rsid w:val="00605668"/>
    <w:rsid w:val="006101F5"/>
    <w:rsid w:val="00620BAE"/>
    <w:rsid w:val="006312FF"/>
    <w:rsid w:val="00632E80"/>
    <w:rsid w:val="006431DE"/>
    <w:rsid w:val="00643908"/>
    <w:rsid w:val="00652221"/>
    <w:rsid w:val="00661FA7"/>
    <w:rsid w:val="006642D3"/>
    <w:rsid w:val="00666283"/>
    <w:rsid w:val="006662D5"/>
    <w:rsid w:val="00667C52"/>
    <w:rsid w:val="006745BC"/>
    <w:rsid w:val="006752C6"/>
    <w:rsid w:val="006940CC"/>
    <w:rsid w:val="006941A8"/>
    <w:rsid w:val="006B1841"/>
    <w:rsid w:val="006B1919"/>
    <w:rsid w:val="006B34C4"/>
    <w:rsid w:val="006B576F"/>
    <w:rsid w:val="006F1C41"/>
    <w:rsid w:val="006F69BF"/>
    <w:rsid w:val="006F7F85"/>
    <w:rsid w:val="007010DC"/>
    <w:rsid w:val="00704E71"/>
    <w:rsid w:val="007227C4"/>
    <w:rsid w:val="0072602A"/>
    <w:rsid w:val="007379B0"/>
    <w:rsid w:val="0074795D"/>
    <w:rsid w:val="007504D2"/>
    <w:rsid w:val="00756AD6"/>
    <w:rsid w:val="007616DA"/>
    <w:rsid w:val="00763276"/>
    <w:rsid w:val="007766CE"/>
    <w:rsid w:val="00783CEC"/>
    <w:rsid w:val="00785661"/>
    <w:rsid w:val="00786DA1"/>
    <w:rsid w:val="00791C82"/>
    <w:rsid w:val="00794F34"/>
    <w:rsid w:val="00797983"/>
    <w:rsid w:val="007B3366"/>
    <w:rsid w:val="007B54A9"/>
    <w:rsid w:val="007C1C49"/>
    <w:rsid w:val="007F26C3"/>
    <w:rsid w:val="007F397F"/>
    <w:rsid w:val="008065CC"/>
    <w:rsid w:val="00812BD6"/>
    <w:rsid w:val="0081457C"/>
    <w:rsid w:val="00817B85"/>
    <w:rsid w:val="00825588"/>
    <w:rsid w:val="00833D58"/>
    <w:rsid w:val="00841F85"/>
    <w:rsid w:val="00846ACB"/>
    <w:rsid w:val="00853D4F"/>
    <w:rsid w:val="00865A4D"/>
    <w:rsid w:val="00872CC9"/>
    <w:rsid w:val="00877BAE"/>
    <w:rsid w:val="00885D87"/>
    <w:rsid w:val="008874ED"/>
    <w:rsid w:val="008A1314"/>
    <w:rsid w:val="008A79B8"/>
    <w:rsid w:val="008B6FA9"/>
    <w:rsid w:val="008C582D"/>
    <w:rsid w:val="008D2DD8"/>
    <w:rsid w:val="008D33F2"/>
    <w:rsid w:val="008E08BD"/>
    <w:rsid w:val="008E3F26"/>
    <w:rsid w:val="008E5095"/>
    <w:rsid w:val="008E6369"/>
    <w:rsid w:val="0090052F"/>
    <w:rsid w:val="009014DA"/>
    <w:rsid w:val="00903B00"/>
    <w:rsid w:val="0090571D"/>
    <w:rsid w:val="009226BA"/>
    <w:rsid w:val="00926C35"/>
    <w:rsid w:val="00927E32"/>
    <w:rsid w:val="0093672F"/>
    <w:rsid w:val="0096200C"/>
    <w:rsid w:val="00985E50"/>
    <w:rsid w:val="0098617D"/>
    <w:rsid w:val="009942FB"/>
    <w:rsid w:val="00996239"/>
    <w:rsid w:val="009C4B73"/>
    <w:rsid w:val="009D23B0"/>
    <w:rsid w:val="009D3F07"/>
    <w:rsid w:val="009F21F4"/>
    <w:rsid w:val="009F6DB0"/>
    <w:rsid w:val="009F7216"/>
    <w:rsid w:val="009F7C64"/>
    <w:rsid w:val="00A023F6"/>
    <w:rsid w:val="00A0556C"/>
    <w:rsid w:val="00A05F5B"/>
    <w:rsid w:val="00A074FD"/>
    <w:rsid w:val="00A13547"/>
    <w:rsid w:val="00A1519C"/>
    <w:rsid w:val="00A32383"/>
    <w:rsid w:val="00A3360A"/>
    <w:rsid w:val="00A45CBA"/>
    <w:rsid w:val="00A50754"/>
    <w:rsid w:val="00A536EE"/>
    <w:rsid w:val="00A53D4B"/>
    <w:rsid w:val="00A603DC"/>
    <w:rsid w:val="00A62802"/>
    <w:rsid w:val="00A6354C"/>
    <w:rsid w:val="00A6457E"/>
    <w:rsid w:val="00A74A8B"/>
    <w:rsid w:val="00A75F01"/>
    <w:rsid w:val="00A8104E"/>
    <w:rsid w:val="00A823BB"/>
    <w:rsid w:val="00A90B8D"/>
    <w:rsid w:val="00A934D3"/>
    <w:rsid w:val="00AC6805"/>
    <w:rsid w:val="00AD1EF8"/>
    <w:rsid w:val="00AE15DC"/>
    <w:rsid w:val="00AE167F"/>
    <w:rsid w:val="00AE6D1A"/>
    <w:rsid w:val="00AE7D58"/>
    <w:rsid w:val="00AF463B"/>
    <w:rsid w:val="00AF7D34"/>
    <w:rsid w:val="00AF7E1B"/>
    <w:rsid w:val="00B103EC"/>
    <w:rsid w:val="00B16BDF"/>
    <w:rsid w:val="00B326C9"/>
    <w:rsid w:val="00B65BDB"/>
    <w:rsid w:val="00B67E0A"/>
    <w:rsid w:val="00B91124"/>
    <w:rsid w:val="00B957D0"/>
    <w:rsid w:val="00BD3A4F"/>
    <w:rsid w:val="00BE0A01"/>
    <w:rsid w:val="00BF05CA"/>
    <w:rsid w:val="00BF41BA"/>
    <w:rsid w:val="00C05CD0"/>
    <w:rsid w:val="00C23871"/>
    <w:rsid w:val="00C23B85"/>
    <w:rsid w:val="00C26994"/>
    <w:rsid w:val="00C30240"/>
    <w:rsid w:val="00C343C6"/>
    <w:rsid w:val="00C344EB"/>
    <w:rsid w:val="00C4199E"/>
    <w:rsid w:val="00C52B59"/>
    <w:rsid w:val="00C66D47"/>
    <w:rsid w:val="00C744DA"/>
    <w:rsid w:val="00C74E3D"/>
    <w:rsid w:val="00C82FDE"/>
    <w:rsid w:val="00C9366B"/>
    <w:rsid w:val="00C96345"/>
    <w:rsid w:val="00C96D19"/>
    <w:rsid w:val="00C97743"/>
    <w:rsid w:val="00C97B8A"/>
    <w:rsid w:val="00CA1270"/>
    <w:rsid w:val="00CC132B"/>
    <w:rsid w:val="00CC4AF8"/>
    <w:rsid w:val="00CD0A53"/>
    <w:rsid w:val="00CD5EC3"/>
    <w:rsid w:val="00CD6C9C"/>
    <w:rsid w:val="00CD7BF4"/>
    <w:rsid w:val="00CE02C9"/>
    <w:rsid w:val="00CE1E31"/>
    <w:rsid w:val="00D07DAE"/>
    <w:rsid w:val="00D114CD"/>
    <w:rsid w:val="00D12978"/>
    <w:rsid w:val="00D13F01"/>
    <w:rsid w:val="00D17AF1"/>
    <w:rsid w:val="00D24961"/>
    <w:rsid w:val="00D31108"/>
    <w:rsid w:val="00D32433"/>
    <w:rsid w:val="00D537E3"/>
    <w:rsid w:val="00D6666D"/>
    <w:rsid w:val="00D82087"/>
    <w:rsid w:val="00DA5879"/>
    <w:rsid w:val="00DA6C51"/>
    <w:rsid w:val="00DB5BD4"/>
    <w:rsid w:val="00DD24DC"/>
    <w:rsid w:val="00DD2C4F"/>
    <w:rsid w:val="00DE53E8"/>
    <w:rsid w:val="00DF3FF5"/>
    <w:rsid w:val="00DF458C"/>
    <w:rsid w:val="00E078B3"/>
    <w:rsid w:val="00E170A7"/>
    <w:rsid w:val="00E21FD5"/>
    <w:rsid w:val="00E22014"/>
    <w:rsid w:val="00E3315C"/>
    <w:rsid w:val="00E36266"/>
    <w:rsid w:val="00E42ADF"/>
    <w:rsid w:val="00E609B0"/>
    <w:rsid w:val="00E71262"/>
    <w:rsid w:val="00E82576"/>
    <w:rsid w:val="00E90D38"/>
    <w:rsid w:val="00E958D1"/>
    <w:rsid w:val="00EA059A"/>
    <w:rsid w:val="00EA1BD4"/>
    <w:rsid w:val="00EA2B67"/>
    <w:rsid w:val="00EA5F88"/>
    <w:rsid w:val="00EB2655"/>
    <w:rsid w:val="00EB586B"/>
    <w:rsid w:val="00EB7F9A"/>
    <w:rsid w:val="00EC0172"/>
    <w:rsid w:val="00EC45F9"/>
    <w:rsid w:val="00ED1164"/>
    <w:rsid w:val="00EE735C"/>
    <w:rsid w:val="00EF13C3"/>
    <w:rsid w:val="00EF43A8"/>
    <w:rsid w:val="00F04BD4"/>
    <w:rsid w:val="00F0636F"/>
    <w:rsid w:val="00F110D4"/>
    <w:rsid w:val="00F2680A"/>
    <w:rsid w:val="00F35C74"/>
    <w:rsid w:val="00F36A41"/>
    <w:rsid w:val="00F57599"/>
    <w:rsid w:val="00F57625"/>
    <w:rsid w:val="00F609F6"/>
    <w:rsid w:val="00F67D94"/>
    <w:rsid w:val="00F73F55"/>
    <w:rsid w:val="00F87EF9"/>
    <w:rsid w:val="00F92D5D"/>
    <w:rsid w:val="00F97DA5"/>
    <w:rsid w:val="00FD336D"/>
    <w:rsid w:val="00FD3E28"/>
    <w:rsid w:val="00FE65EA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830C2"/>
  <w15:docId w15:val="{E08B6594-354F-4A77-890B-7687F5CE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3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5CD0"/>
    <w:pPr>
      <w:keepNext/>
      <w:keepLines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5CD0"/>
    <w:pPr>
      <w:keepNext/>
      <w:keepLines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5CD0"/>
    <w:pPr>
      <w:keepNext/>
      <w:keepLines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D666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F5F"/>
  </w:style>
  <w:style w:type="paragraph" w:styleId="Zpat">
    <w:name w:val="footer"/>
    <w:basedOn w:val="Normln"/>
    <w:link w:val="ZpatChar"/>
    <w:uiPriority w:val="99"/>
    <w:unhideWhenUsed/>
    <w:rsid w:val="0021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F5F"/>
  </w:style>
  <w:style w:type="paragraph" w:styleId="Zkladntext2">
    <w:name w:val="Body Text 2"/>
    <w:basedOn w:val="Normln"/>
    <w:link w:val="Zkladntext2Char"/>
    <w:uiPriority w:val="99"/>
    <w:semiHidden/>
    <w:unhideWhenUsed/>
    <w:rsid w:val="00CA1270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27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1270"/>
    <w:rPr>
      <w:color w:val="0000FF" w:themeColor="hyperlink"/>
      <w:u w:val="single"/>
    </w:rPr>
  </w:style>
  <w:style w:type="paragraph" w:customStyle="1" w:styleId="Textodstavce">
    <w:name w:val="Text odstavce"/>
    <w:basedOn w:val="Normln"/>
    <w:link w:val="TextodstavceChar3"/>
    <w:uiPriority w:val="99"/>
    <w:rsid w:val="00A074FD"/>
    <w:pPr>
      <w:tabs>
        <w:tab w:val="num" w:pos="360"/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82FD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CE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CE1E3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5C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5C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5C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C05CD0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C05CD0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C05CD0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C05CD0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3">
    <w:name w:val="Text odstavce Char3"/>
    <w:link w:val="Textodstavce"/>
    <w:uiPriority w:val="99"/>
    <w:rsid w:val="00C05C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ododdlu">
    <w:name w:val="Nadpis pododdílu"/>
    <w:basedOn w:val="Normln"/>
    <w:qFormat/>
    <w:rsid w:val="006B1841"/>
    <w:pPr>
      <w:keepNext/>
      <w:keepLine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9D23B0"/>
  </w:style>
  <w:style w:type="paragraph" w:customStyle="1" w:styleId="Default">
    <w:name w:val="Default"/>
    <w:rsid w:val="009D23B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uiPriority w:val="99"/>
    <w:rsid w:val="009D23B0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3E2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3E28"/>
  </w:style>
  <w:style w:type="paragraph" w:styleId="Zkladntext">
    <w:name w:val="Body Text"/>
    <w:basedOn w:val="Normln"/>
    <w:link w:val="ZkladntextChar"/>
    <w:uiPriority w:val="99"/>
    <w:unhideWhenUsed/>
    <w:rsid w:val="009D3F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D3F07"/>
  </w:style>
  <w:style w:type="character" w:customStyle="1" w:styleId="Nadpis1Char">
    <w:name w:val="Nadpis 1 Char"/>
    <w:basedOn w:val="Standardnpsmoodstavce"/>
    <w:link w:val="Nadpis1"/>
    <w:uiPriority w:val="9"/>
    <w:rsid w:val="00853D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101F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101F5"/>
    <w:rPr>
      <w:rFonts w:ascii="Calibri" w:hAnsi="Calibri"/>
      <w:szCs w:val="21"/>
    </w:rPr>
  </w:style>
  <w:style w:type="paragraph" w:customStyle="1" w:styleId="Styl1-Nzevmaterilu">
    <w:name w:val="Styl1 - Název materiálu"/>
    <w:basedOn w:val="Normln"/>
    <w:link w:val="Styl1-NzevmateriluChar"/>
    <w:qFormat/>
    <w:rsid w:val="001C159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noProof/>
      <w:szCs w:val="24"/>
      <w:lang w:eastAsia="cs-CZ"/>
    </w:rPr>
  </w:style>
  <w:style w:type="character" w:customStyle="1" w:styleId="Styl1-NzevmateriluChar">
    <w:name w:val="Styl1 - Název materiálu Char"/>
    <w:link w:val="Styl1-Nzevmaterilu"/>
    <w:rsid w:val="001C1595"/>
    <w:rPr>
      <w:rFonts w:ascii="Arial" w:eastAsia="Times New Roman" w:hAnsi="Arial" w:cs="Arial"/>
      <w:b/>
      <w:noProof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8034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2014871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C4FAD-2DBD-455F-A463-FB71DB65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2104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Pospíšil</dc:creator>
  <cp:lastModifiedBy>Urban Tomáš Mgr. (MPSV)</cp:lastModifiedBy>
  <cp:revision>4</cp:revision>
  <cp:lastPrinted>2024-11-25T09:32:00Z</cp:lastPrinted>
  <dcterms:created xsi:type="dcterms:W3CDTF">2024-11-25T13:57:00Z</dcterms:created>
  <dcterms:modified xsi:type="dcterms:W3CDTF">2024-11-26T17:19:00Z</dcterms:modified>
</cp:coreProperties>
</file>