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b/>
        </w:rPr>
        <w:tag w:val="oznaceniDokumentu"/>
        <w:id w:val="-1578812355"/>
        <w:placeholder>
          <w:docPart w:val="545124FCEB3645BBB4A1245C86C5B2B0"/>
        </w:placeholder>
        <w:dropDownList>
          <w:listItem w:displayText=" " w:value=" "/>
          <w:listItem w:displayText="PRO VNITŘNÍ POTŘEBU" w:value="PRO VNITŘNÍ POTŘEBU"/>
          <w:listItem w:displayText="CITLIVÉ" w:value="CITLIVÉ"/>
          <w:listItem w:displayText="VELMI CITLIVÉ" w:value="VELMI CITLIVÉ"/>
        </w:dropDownList>
      </w:sdtPr>
      <w:sdtEndPr/>
      <w:sdtContent>
        <w:p w14:paraId="02FEB416" w14:textId="77777777" w:rsidR="00C633FA" w:rsidRPr="00C633FA" w:rsidRDefault="007B7F4A" w:rsidP="00743C58">
          <w:pPr>
            <w:pStyle w:val="Bezmezer"/>
            <w:jc w:val="both"/>
            <w:rPr>
              <w:rFonts w:ascii="Times New Roman" w:eastAsia="Times New Roman" w:hAnsi="Times New Roman" w:cs="Times New Roman"/>
              <w:b/>
              <w:sz w:val="24"/>
              <w:szCs w:val="24"/>
              <w:lang w:eastAsia="cs-CZ"/>
            </w:rPr>
          </w:pPr>
          <w:r>
            <w:rPr>
              <w:b/>
            </w:rPr>
            <w:t xml:space="preserve"> </w:t>
          </w:r>
        </w:p>
      </w:sdtContent>
    </w:sdt>
    <w:p w14:paraId="004F602D" w14:textId="77777777" w:rsidR="00887ECA" w:rsidRPr="0067466D" w:rsidRDefault="00EE0F83" w:rsidP="0067466D">
      <w:pPr>
        <w:spacing w:line="360" w:lineRule="auto"/>
        <w:jc w:val="right"/>
        <w:rPr>
          <w:rFonts w:ascii="Arial" w:hAnsi="Arial" w:cs="Arial"/>
        </w:rPr>
      </w:pPr>
      <w:r w:rsidRPr="0067466D">
        <w:rPr>
          <w:rFonts w:ascii="Arial" w:hAnsi="Arial" w:cs="Arial"/>
          <w:bCs/>
        </w:rPr>
        <w:fldChar w:fldCharType="begin">
          <w:ffData>
            <w:name w:val=""/>
            <w:enabled/>
            <w:calcOnExit w:val="0"/>
            <w:textInput>
              <w:default w:val="Vložte římské číslo dle čísla na obálce"/>
            </w:textInput>
          </w:ffData>
        </w:fldChar>
      </w:r>
      <w:r w:rsidRPr="0067466D">
        <w:rPr>
          <w:rFonts w:ascii="Arial" w:hAnsi="Arial" w:cs="Arial"/>
          <w:bCs/>
        </w:rPr>
        <w:instrText xml:space="preserve"> FORMTEXT </w:instrText>
      </w:r>
      <w:r w:rsidRPr="0067466D">
        <w:rPr>
          <w:rFonts w:ascii="Arial" w:hAnsi="Arial" w:cs="Arial"/>
          <w:bCs/>
        </w:rPr>
      </w:r>
      <w:r w:rsidRPr="0067466D">
        <w:rPr>
          <w:rFonts w:ascii="Arial" w:hAnsi="Arial" w:cs="Arial"/>
          <w:bCs/>
        </w:rPr>
        <w:fldChar w:fldCharType="separate"/>
      </w:r>
      <w:r w:rsidR="00D054A6" w:rsidRPr="0067466D">
        <w:rPr>
          <w:rFonts w:ascii="Arial" w:hAnsi="Arial" w:cs="Arial"/>
          <w:bCs/>
          <w:noProof/>
        </w:rPr>
        <w:t>III.</w:t>
      </w:r>
      <w:r w:rsidRPr="0067466D">
        <w:rPr>
          <w:rFonts w:ascii="Arial" w:hAnsi="Arial" w:cs="Arial"/>
          <w:bCs/>
        </w:rPr>
        <w:fldChar w:fldCharType="end"/>
      </w:r>
    </w:p>
    <w:p w14:paraId="002949F6" w14:textId="4EB060F2" w:rsidR="002A672E" w:rsidRPr="0067466D" w:rsidRDefault="00542E42" w:rsidP="0067466D">
      <w:pPr>
        <w:spacing w:line="360" w:lineRule="auto"/>
        <w:jc w:val="center"/>
        <w:rPr>
          <w:rFonts w:ascii="Arial" w:hAnsi="Arial" w:cs="Arial"/>
          <w:b/>
        </w:rPr>
      </w:pPr>
      <w:r w:rsidRPr="0067466D">
        <w:rPr>
          <w:rFonts w:ascii="Arial" w:hAnsi="Arial" w:cs="Arial"/>
          <w:b/>
        </w:rPr>
        <w:t>ODŮVODNĚNÍ</w:t>
      </w:r>
    </w:p>
    <w:p w14:paraId="4B0721E7" w14:textId="77777777" w:rsidR="00D054A6" w:rsidRPr="0067466D" w:rsidRDefault="00D054A6" w:rsidP="0067466D">
      <w:pPr>
        <w:spacing w:line="360" w:lineRule="auto"/>
        <w:jc w:val="both"/>
        <w:rPr>
          <w:rFonts w:ascii="Arial" w:hAnsi="Arial" w:cs="Arial"/>
          <w:b/>
          <w:bCs/>
          <w:u w:val="single"/>
        </w:rPr>
      </w:pPr>
      <w:r w:rsidRPr="0067466D">
        <w:rPr>
          <w:rFonts w:ascii="Arial" w:hAnsi="Arial" w:cs="Arial"/>
          <w:b/>
          <w:bCs/>
          <w:u w:val="single"/>
        </w:rPr>
        <w:t>I. Obecná část</w:t>
      </w:r>
    </w:p>
    <w:p w14:paraId="6BAC65B4" w14:textId="6D343A92" w:rsidR="00D054A6" w:rsidRDefault="00D054A6" w:rsidP="0067466D">
      <w:pPr>
        <w:pStyle w:val="Odstavecseseznamem"/>
        <w:numPr>
          <w:ilvl w:val="0"/>
          <w:numId w:val="2"/>
        </w:numPr>
        <w:spacing w:line="360" w:lineRule="auto"/>
        <w:jc w:val="both"/>
        <w:rPr>
          <w:rFonts w:ascii="Arial" w:hAnsi="Arial" w:cs="Arial"/>
          <w:b/>
          <w:bCs/>
        </w:rPr>
      </w:pPr>
      <w:r w:rsidRPr="0067466D">
        <w:rPr>
          <w:rFonts w:ascii="Arial" w:hAnsi="Arial" w:cs="Arial"/>
          <w:b/>
          <w:bCs/>
        </w:rPr>
        <w:t>VYSVĚTLENÍ NEZBYTNOSTI NAVRHOVANÉ PRÁVNÍ ÚPRAVY, ODŮVODNĚNÍ JEJÍCH HLAVNÍCH PRINCIPŮ</w:t>
      </w:r>
    </w:p>
    <w:p w14:paraId="36020F39" w14:textId="77777777" w:rsidR="00333445" w:rsidRDefault="00333445" w:rsidP="00333445">
      <w:pPr>
        <w:spacing w:line="360" w:lineRule="auto"/>
        <w:jc w:val="both"/>
        <w:rPr>
          <w:rFonts w:ascii="Arial" w:hAnsi="Arial" w:cs="Arial"/>
          <w:bCs/>
        </w:rPr>
      </w:pPr>
      <w:bookmarkStart w:id="0" w:name="_Hlk60729736"/>
    </w:p>
    <w:p w14:paraId="5359AAE3" w14:textId="14DA9E70" w:rsidR="005638E6" w:rsidRPr="00333445" w:rsidRDefault="005638E6" w:rsidP="00333445">
      <w:pPr>
        <w:spacing w:line="360" w:lineRule="auto"/>
        <w:jc w:val="both"/>
        <w:rPr>
          <w:rFonts w:ascii="Arial" w:hAnsi="Arial" w:cs="Arial"/>
          <w:bCs/>
        </w:rPr>
      </w:pPr>
      <w:r w:rsidRPr="00333445">
        <w:rPr>
          <w:rFonts w:ascii="Arial" w:hAnsi="Arial" w:cs="Arial"/>
          <w:bCs/>
        </w:rPr>
        <w:t xml:space="preserve">Vyhláška, </w:t>
      </w:r>
      <w:bookmarkStart w:id="1" w:name="_Hlk109720363"/>
      <w:r w:rsidRPr="00333445">
        <w:rPr>
          <w:rFonts w:ascii="Arial" w:hAnsi="Arial" w:cs="Arial"/>
          <w:bCs/>
        </w:rPr>
        <w:t>kterou se stanoví zvláštní pravidla pro vytápění a dodávku teplé vody při předcházení stavu nouze nebo ve stavu nouze</w:t>
      </w:r>
      <w:bookmarkEnd w:id="1"/>
      <w:r w:rsidRPr="00333445">
        <w:rPr>
          <w:rFonts w:ascii="Arial" w:hAnsi="Arial" w:cs="Arial"/>
          <w:bCs/>
        </w:rPr>
        <w:t>, reaguje na možný nedostatek zemního plynu vzhledem k vojenské agresi Ruské federace, jakožto hlavního vnějšího dodavatele zemního plynu</w:t>
      </w:r>
      <w:r w:rsidR="00C30132">
        <w:rPr>
          <w:rFonts w:ascii="Arial" w:hAnsi="Arial" w:cs="Arial"/>
          <w:bCs/>
        </w:rPr>
        <w:t xml:space="preserve"> do ČR</w:t>
      </w:r>
      <w:r w:rsidRPr="00333445">
        <w:rPr>
          <w:rFonts w:ascii="Arial" w:hAnsi="Arial" w:cs="Arial"/>
          <w:bCs/>
        </w:rPr>
        <w:t xml:space="preserve">, vůči Ukrajině. Eskalace konfliktu vedla od února 2022 k výraznému poklesu dodávek plynu </w:t>
      </w:r>
      <w:r w:rsidR="00C30132">
        <w:rPr>
          <w:rFonts w:ascii="Arial" w:hAnsi="Arial" w:cs="Arial"/>
          <w:bCs/>
        </w:rPr>
        <w:t>do EU</w:t>
      </w:r>
      <w:r w:rsidRPr="00333445">
        <w:rPr>
          <w:rFonts w:ascii="Arial" w:hAnsi="Arial" w:cs="Arial"/>
          <w:bCs/>
        </w:rPr>
        <w:t xml:space="preserve">. Celkové toky </w:t>
      </w:r>
      <w:r w:rsidR="00C30132">
        <w:rPr>
          <w:rFonts w:ascii="Arial" w:hAnsi="Arial" w:cs="Arial"/>
          <w:bCs/>
        </w:rPr>
        <w:t xml:space="preserve">zemního plynu </w:t>
      </w:r>
      <w:r w:rsidRPr="00333445">
        <w:rPr>
          <w:rFonts w:ascii="Arial" w:hAnsi="Arial" w:cs="Arial"/>
          <w:bCs/>
        </w:rPr>
        <w:t xml:space="preserve">z Ruska </w:t>
      </w:r>
      <w:r w:rsidR="00C30132">
        <w:rPr>
          <w:rFonts w:ascii="Arial" w:hAnsi="Arial" w:cs="Arial"/>
          <w:bCs/>
        </w:rPr>
        <w:t>dosahují</w:t>
      </w:r>
      <w:r w:rsidR="00C30132" w:rsidRPr="00333445">
        <w:rPr>
          <w:rFonts w:ascii="Arial" w:hAnsi="Arial" w:cs="Arial"/>
          <w:bCs/>
        </w:rPr>
        <w:t xml:space="preserve"> </w:t>
      </w:r>
      <w:r w:rsidRPr="00333445">
        <w:rPr>
          <w:rFonts w:ascii="Arial" w:hAnsi="Arial" w:cs="Arial"/>
          <w:bCs/>
        </w:rPr>
        <w:t>nyní méně než 30 % průměr</w:t>
      </w:r>
      <w:r w:rsidR="00C30132">
        <w:rPr>
          <w:rFonts w:ascii="Arial" w:hAnsi="Arial" w:cs="Arial"/>
          <w:bCs/>
        </w:rPr>
        <w:t>né</w:t>
      </w:r>
      <w:r w:rsidR="00D74D81">
        <w:rPr>
          <w:rFonts w:ascii="Arial" w:hAnsi="Arial" w:cs="Arial"/>
          <w:bCs/>
        </w:rPr>
        <w:t>ho</w:t>
      </w:r>
      <w:r w:rsidR="00C30132">
        <w:rPr>
          <w:rFonts w:ascii="Arial" w:hAnsi="Arial" w:cs="Arial"/>
          <w:bCs/>
        </w:rPr>
        <w:t xml:space="preserve"> objemu dodávek z</w:t>
      </w:r>
      <w:r w:rsidRPr="00333445">
        <w:rPr>
          <w:rFonts w:ascii="Arial" w:hAnsi="Arial" w:cs="Arial"/>
          <w:bCs/>
        </w:rPr>
        <w:t xml:space="preserve"> let 2016–2021. Toto snížení nabídky </w:t>
      </w:r>
      <w:r w:rsidR="00C30132">
        <w:rPr>
          <w:rFonts w:ascii="Arial" w:hAnsi="Arial" w:cs="Arial"/>
          <w:bCs/>
        </w:rPr>
        <w:t>zapříčinilo</w:t>
      </w:r>
      <w:r w:rsidR="00C30132" w:rsidRPr="00333445">
        <w:rPr>
          <w:rFonts w:ascii="Arial" w:hAnsi="Arial" w:cs="Arial"/>
          <w:bCs/>
        </w:rPr>
        <w:t xml:space="preserve"> </w:t>
      </w:r>
      <w:r w:rsidRPr="00333445">
        <w:rPr>
          <w:rFonts w:ascii="Arial" w:hAnsi="Arial" w:cs="Arial"/>
          <w:bCs/>
        </w:rPr>
        <w:t xml:space="preserve">historicky nejvyšší </w:t>
      </w:r>
      <w:r w:rsidR="00C30132" w:rsidRPr="00333445">
        <w:rPr>
          <w:rFonts w:ascii="Arial" w:hAnsi="Arial" w:cs="Arial"/>
          <w:bCs/>
        </w:rPr>
        <w:t>cen</w:t>
      </w:r>
      <w:r w:rsidR="00C30132">
        <w:rPr>
          <w:rFonts w:ascii="Arial" w:hAnsi="Arial" w:cs="Arial"/>
          <w:bCs/>
        </w:rPr>
        <w:t>y</w:t>
      </w:r>
      <w:r w:rsidR="00C30132" w:rsidRPr="00333445">
        <w:rPr>
          <w:rFonts w:ascii="Arial" w:hAnsi="Arial" w:cs="Arial"/>
          <w:bCs/>
        </w:rPr>
        <w:t xml:space="preserve"> </w:t>
      </w:r>
      <w:r w:rsidRPr="00333445">
        <w:rPr>
          <w:rFonts w:ascii="Arial" w:hAnsi="Arial" w:cs="Arial"/>
          <w:bCs/>
        </w:rPr>
        <w:t>energie</w:t>
      </w:r>
      <w:r w:rsidR="00C30132">
        <w:rPr>
          <w:rFonts w:ascii="Arial" w:hAnsi="Arial" w:cs="Arial"/>
          <w:bCs/>
        </w:rPr>
        <w:t xml:space="preserve"> v ČR</w:t>
      </w:r>
      <w:r w:rsidRPr="00333445">
        <w:rPr>
          <w:rFonts w:ascii="Arial" w:hAnsi="Arial" w:cs="Arial"/>
          <w:bCs/>
        </w:rPr>
        <w:t>, což přispívá k inflaci a vytváří riziko dalšího hospodářského poklesu v Evropě.</w:t>
      </w:r>
    </w:p>
    <w:p w14:paraId="31FDAEC4" w14:textId="77777777" w:rsidR="005638E6" w:rsidRPr="00333445" w:rsidRDefault="005638E6" w:rsidP="00333445">
      <w:pPr>
        <w:spacing w:line="360" w:lineRule="auto"/>
        <w:jc w:val="both"/>
        <w:rPr>
          <w:rFonts w:ascii="Arial" w:hAnsi="Arial" w:cs="Arial"/>
          <w:bCs/>
        </w:rPr>
      </w:pPr>
    </w:p>
    <w:p w14:paraId="3E084B3C" w14:textId="0E12ECC4" w:rsidR="005F68D7" w:rsidRDefault="005638E6" w:rsidP="00333445">
      <w:pPr>
        <w:spacing w:line="360" w:lineRule="auto"/>
        <w:jc w:val="both"/>
        <w:rPr>
          <w:rFonts w:ascii="Arial" w:hAnsi="Arial" w:cs="Arial"/>
          <w:bCs/>
        </w:rPr>
      </w:pPr>
      <w:r w:rsidRPr="00333445">
        <w:rPr>
          <w:rFonts w:ascii="Arial" w:hAnsi="Arial" w:cs="Arial"/>
          <w:bCs/>
        </w:rPr>
        <w:t xml:space="preserve">Navrhovaná vyhláška si klade za cíl snížení spotřeby </w:t>
      </w:r>
      <w:r w:rsidR="00AA1894">
        <w:rPr>
          <w:rFonts w:ascii="Arial" w:hAnsi="Arial" w:cs="Arial"/>
          <w:bCs/>
        </w:rPr>
        <w:t xml:space="preserve">zemního plynu a dalších </w:t>
      </w:r>
      <w:r w:rsidR="00A5078F">
        <w:rPr>
          <w:rFonts w:ascii="Arial" w:hAnsi="Arial" w:cs="Arial"/>
          <w:bCs/>
        </w:rPr>
        <w:t>fosilních paliv</w:t>
      </w:r>
      <w:r w:rsidRPr="00333445">
        <w:rPr>
          <w:rFonts w:ascii="Arial" w:hAnsi="Arial" w:cs="Arial"/>
          <w:bCs/>
        </w:rPr>
        <w:t xml:space="preserve"> v budovách </w:t>
      </w:r>
      <w:r w:rsidR="004C7EF7">
        <w:rPr>
          <w:rFonts w:ascii="Arial" w:hAnsi="Arial" w:cs="Arial"/>
          <w:bCs/>
        </w:rPr>
        <w:t xml:space="preserve">při omezení </w:t>
      </w:r>
      <w:r w:rsidR="005D492D">
        <w:rPr>
          <w:rFonts w:ascii="Arial" w:hAnsi="Arial" w:cs="Arial"/>
          <w:bCs/>
        </w:rPr>
        <w:t>nebo úplné</w:t>
      </w:r>
      <w:r w:rsidR="00FA26DC">
        <w:rPr>
          <w:rFonts w:ascii="Arial" w:hAnsi="Arial" w:cs="Arial"/>
          <w:bCs/>
        </w:rPr>
        <w:t>m</w:t>
      </w:r>
      <w:r w:rsidR="005D492D">
        <w:rPr>
          <w:rFonts w:ascii="Arial" w:hAnsi="Arial" w:cs="Arial"/>
          <w:bCs/>
        </w:rPr>
        <w:t xml:space="preserve"> ukončení </w:t>
      </w:r>
      <w:r w:rsidR="004C7EF7">
        <w:rPr>
          <w:rFonts w:ascii="Arial" w:hAnsi="Arial" w:cs="Arial"/>
          <w:bCs/>
        </w:rPr>
        <w:t xml:space="preserve">dodávky </w:t>
      </w:r>
      <w:r w:rsidR="00AA1894">
        <w:rPr>
          <w:rFonts w:ascii="Arial" w:hAnsi="Arial" w:cs="Arial"/>
          <w:bCs/>
        </w:rPr>
        <w:t xml:space="preserve">zemního plynu </w:t>
      </w:r>
      <w:r w:rsidR="004C7EF7">
        <w:rPr>
          <w:rFonts w:ascii="Arial" w:hAnsi="Arial" w:cs="Arial"/>
          <w:bCs/>
        </w:rPr>
        <w:t>do ČR</w:t>
      </w:r>
      <w:r w:rsidR="00C30132">
        <w:rPr>
          <w:rFonts w:ascii="Arial" w:hAnsi="Arial" w:cs="Arial"/>
          <w:bCs/>
        </w:rPr>
        <w:t xml:space="preserve">. </w:t>
      </w:r>
      <w:r w:rsidRPr="00333445">
        <w:rPr>
          <w:rFonts w:ascii="Arial" w:hAnsi="Arial" w:cs="Arial"/>
          <w:bCs/>
        </w:rPr>
        <w:t xml:space="preserve">Vyhláška zavádí povinnosti při předcházení stavu nouze a při stavu nouze v oblasti </w:t>
      </w:r>
      <w:r w:rsidR="00A5078F">
        <w:rPr>
          <w:rFonts w:ascii="Arial" w:hAnsi="Arial" w:cs="Arial"/>
          <w:bCs/>
        </w:rPr>
        <w:t>teplárenství</w:t>
      </w:r>
      <w:r w:rsidRPr="00333445">
        <w:rPr>
          <w:rFonts w:ascii="Arial" w:hAnsi="Arial" w:cs="Arial"/>
          <w:bCs/>
        </w:rPr>
        <w:t xml:space="preserve">, reguluje tak </w:t>
      </w:r>
      <w:r w:rsidR="00A5078F">
        <w:rPr>
          <w:rFonts w:ascii="Arial" w:hAnsi="Arial" w:cs="Arial"/>
          <w:bCs/>
        </w:rPr>
        <w:t>dodávku tepelné energie</w:t>
      </w:r>
      <w:r w:rsidRPr="00333445">
        <w:rPr>
          <w:rFonts w:ascii="Arial" w:hAnsi="Arial" w:cs="Arial"/>
          <w:bCs/>
        </w:rPr>
        <w:t xml:space="preserve"> a ohřev teplé vody v budovách.</w:t>
      </w:r>
      <w:r w:rsidR="00333445">
        <w:rPr>
          <w:rFonts w:ascii="Arial" w:hAnsi="Arial" w:cs="Arial"/>
          <w:bCs/>
        </w:rPr>
        <w:t xml:space="preserve"> Předcházení stavu nouze napomáhá </w:t>
      </w:r>
      <w:r w:rsidR="00333445" w:rsidRPr="00333445">
        <w:rPr>
          <w:rFonts w:ascii="Arial" w:hAnsi="Arial" w:cs="Arial"/>
          <w:bCs/>
        </w:rPr>
        <w:t xml:space="preserve">prodloužení přístupnosti tepelné energie pro delší období topné sezony v případě </w:t>
      </w:r>
      <w:r w:rsidR="00333445">
        <w:rPr>
          <w:rFonts w:ascii="Arial" w:hAnsi="Arial" w:cs="Arial"/>
          <w:bCs/>
        </w:rPr>
        <w:t xml:space="preserve">nedostatku </w:t>
      </w:r>
      <w:r w:rsidR="00A5078F">
        <w:rPr>
          <w:rFonts w:ascii="Arial" w:hAnsi="Arial" w:cs="Arial"/>
          <w:bCs/>
        </w:rPr>
        <w:t xml:space="preserve">obzvláště </w:t>
      </w:r>
      <w:r w:rsidR="00333445">
        <w:rPr>
          <w:rFonts w:ascii="Arial" w:hAnsi="Arial" w:cs="Arial"/>
          <w:bCs/>
        </w:rPr>
        <w:t>zemního plynu.</w:t>
      </w:r>
      <w:r w:rsidR="00FF6C60">
        <w:rPr>
          <w:rFonts w:ascii="Arial" w:hAnsi="Arial" w:cs="Arial"/>
          <w:bCs/>
        </w:rPr>
        <w:t xml:space="preserve"> </w:t>
      </w:r>
      <w:r w:rsidR="00C30132">
        <w:rPr>
          <w:rFonts w:ascii="Arial" w:hAnsi="Arial" w:cs="Arial"/>
          <w:bCs/>
        </w:rPr>
        <w:t>Úprava po</w:t>
      </w:r>
      <w:r w:rsidR="00C30132" w:rsidRPr="00333445">
        <w:rPr>
          <w:rFonts w:ascii="Arial" w:hAnsi="Arial" w:cs="Arial"/>
          <w:bCs/>
        </w:rPr>
        <w:t>vede k</w:t>
      </w:r>
      <w:r w:rsidR="00C30132">
        <w:rPr>
          <w:rFonts w:ascii="Arial" w:hAnsi="Arial" w:cs="Arial"/>
          <w:bCs/>
        </w:rPr>
        <w:t xml:space="preserve"> přímým </w:t>
      </w:r>
      <w:r w:rsidR="00C30132" w:rsidRPr="00333445">
        <w:rPr>
          <w:rFonts w:ascii="Arial" w:hAnsi="Arial" w:cs="Arial"/>
          <w:bCs/>
        </w:rPr>
        <w:t xml:space="preserve">úsporám energie </w:t>
      </w:r>
      <w:r w:rsidR="00C30132">
        <w:rPr>
          <w:rFonts w:ascii="Arial" w:hAnsi="Arial" w:cs="Arial"/>
          <w:bCs/>
        </w:rPr>
        <w:t xml:space="preserve">a snížení spotřeby fosilních paliv včetně </w:t>
      </w:r>
      <w:r w:rsidR="00C30132" w:rsidRPr="00333445">
        <w:rPr>
          <w:rFonts w:ascii="Arial" w:hAnsi="Arial" w:cs="Arial"/>
          <w:bCs/>
        </w:rPr>
        <w:t>zemní</w:t>
      </w:r>
      <w:r w:rsidR="00C30132">
        <w:rPr>
          <w:rFonts w:ascii="Arial" w:hAnsi="Arial" w:cs="Arial"/>
          <w:bCs/>
        </w:rPr>
        <w:t>ho</w:t>
      </w:r>
      <w:r w:rsidR="00C30132" w:rsidRPr="00333445">
        <w:rPr>
          <w:rFonts w:ascii="Arial" w:hAnsi="Arial" w:cs="Arial"/>
          <w:bCs/>
        </w:rPr>
        <w:t xml:space="preserve"> plynu</w:t>
      </w:r>
      <w:r w:rsidR="00C30132">
        <w:rPr>
          <w:rFonts w:ascii="Arial" w:hAnsi="Arial" w:cs="Arial"/>
          <w:bCs/>
        </w:rPr>
        <w:t>, při zachování minimálních požadavků na tepelnou pohodu a dodávku tepl</w:t>
      </w:r>
      <w:r w:rsidR="00FD7CED">
        <w:rPr>
          <w:rFonts w:ascii="Arial" w:hAnsi="Arial" w:cs="Arial"/>
          <w:bCs/>
        </w:rPr>
        <w:t>é</w:t>
      </w:r>
      <w:r w:rsidR="00C30132">
        <w:rPr>
          <w:rFonts w:ascii="Arial" w:hAnsi="Arial" w:cs="Arial"/>
          <w:bCs/>
        </w:rPr>
        <w:t xml:space="preserve"> vod</w:t>
      </w:r>
      <w:r w:rsidR="00FD7CED">
        <w:rPr>
          <w:rFonts w:ascii="Arial" w:hAnsi="Arial" w:cs="Arial"/>
          <w:bCs/>
        </w:rPr>
        <w:t>y</w:t>
      </w:r>
      <w:r w:rsidR="00C30132" w:rsidRPr="00333445">
        <w:rPr>
          <w:rFonts w:ascii="Arial" w:hAnsi="Arial" w:cs="Arial"/>
          <w:bCs/>
        </w:rPr>
        <w:t>.</w:t>
      </w:r>
      <w:r w:rsidR="005F68D7">
        <w:rPr>
          <w:rFonts w:ascii="Arial" w:hAnsi="Arial" w:cs="Arial"/>
          <w:bCs/>
        </w:rPr>
        <w:t xml:space="preserve"> </w:t>
      </w:r>
    </w:p>
    <w:p w14:paraId="7ACBC6C5" w14:textId="77777777" w:rsidR="005F68D7" w:rsidRDefault="005F68D7" w:rsidP="00333445">
      <w:pPr>
        <w:spacing w:line="360" w:lineRule="auto"/>
        <w:jc w:val="both"/>
        <w:rPr>
          <w:rFonts w:ascii="Arial" w:hAnsi="Arial" w:cs="Arial"/>
          <w:bCs/>
        </w:rPr>
      </w:pPr>
    </w:p>
    <w:p w14:paraId="6C26690C" w14:textId="5695E2A8" w:rsidR="005638E6" w:rsidRPr="00333445" w:rsidRDefault="005F68D7" w:rsidP="00333445">
      <w:pPr>
        <w:spacing w:line="360" w:lineRule="auto"/>
        <w:jc w:val="both"/>
        <w:rPr>
          <w:rFonts w:ascii="Arial" w:hAnsi="Arial" w:cs="Arial"/>
          <w:bCs/>
        </w:rPr>
      </w:pPr>
      <w:r>
        <w:rPr>
          <w:rFonts w:ascii="Arial" w:hAnsi="Arial" w:cs="Arial"/>
          <w:bCs/>
        </w:rPr>
        <w:t xml:space="preserve">S ohledem na vzájemné propojení a fungování jednotlivých energetických </w:t>
      </w:r>
      <w:r w:rsidR="00D74D81">
        <w:rPr>
          <w:rFonts w:ascii="Arial" w:hAnsi="Arial" w:cs="Arial"/>
          <w:bCs/>
        </w:rPr>
        <w:t>systémů – teplárenských</w:t>
      </w:r>
      <w:r>
        <w:rPr>
          <w:rFonts w:ascii="Arial" w:hAnsi="Arial" w:cs="Arial"/>
          <w:bCs/>
        </w:rPr>
        <w:t xml:space="preserve">, elektroenergetických a plynárenských – upravuje vyhláška pravidla pro vytápění ze zdrojů </w:t>
      </w:r>
      <w:r w:rsidR="00D74D81">
        <w:rPr>
          <w:rFonts w:ascii="Arial" w:hAnsi="Arial" w:cs="Arial"/>
          <w:bCs/>
        </w:rPr>
        <w:t>tepla spalující vš</w:t>
      </w:r>
      <w:r>
        <w:rPr>
          <w:rFonts w:ascii="Arial" w:hAnsi="Arial" w:cs="Arial"/>
          <w:bCs/>
        </w:rPr>
        <w:t xml:space="preserve">echna fosilní paliva, nejenom </w:t>
      </w:r>
      <w:r w:rsidR="00FD7CED">
        <w:rPr>
          <w:rFonts w:ascii="Arial" w:hAnsi="Arial" w:cs="Arial"/>
          <w:bCs/>
        </w:rPr>
        <w:t>t</w:t>
      </w:r>
      <w:r w:rsidR="00D74D81">
        <w:rPr>
          <w:rFonts w:ascii="Arial" w:hAnsi="Arial" w:cs="Arial"/>
          <w:bCs/>
        </w:rPr>
        <w:t>y</w:t>
      </w:r>
      <w:r>
        <w:rPr>
          <w:rFonts w:ascii="Arial" w:hAnsi="Arial" w:cs="Arial"/>
          <w:bCs/>
        </w:rPr>
        <w:t xml:space="preserve">, které spalují zemní plyn. </w:t>
      </w:r>
    </w:p>
    <w:p w14:paraId="18B19CBA" w14:textId="77777777" w:rsidR="00333445" w:rsidRDefault="00333445" w:rsidP="00FA0734">
      <w:pPr>
        <w:spacing w:line="360" w:lineRule="auto"/>
        <w:jc w:val="both"/>
        <w:rPr>
          <w:rFonts w:ascii="Arial" w:hAnsi="Arial" w:cs="Arial"/>
          <w:bCs/>
        </w:rPr>
      </w:pPr>
    </w:p>
    <w:p w14:paraId="6ABA3FE0" w14:textId="4F2521FE" w:rsidR="005F755B" w:rsidRDefault="005F755B" w:rsidP="00FA0734">
      <w:pPr>
        <w:spacing w:line="360" w:lineRule="auto"/>
        <w:jc w:val="both"/>
        <w:rPr>
          <w:rFonts w:ascii="Arial" w:hAnsi="Arial" w:cs="Arial"/>
          <w:bCs/>
        </w:rPr>
      </w:pPr>
      <w:bookmarkStart w:id="2" w:name="_Hlk109721729"/>
      <w:r>
        <w:rPr>
          <w:rFonts w:ascii="Arial" w:hAnsi="Arial" w:cs="Arial"/>
          <w:bCs/>
        </w:rPr>
        <w:t xml:space="preserve">Návrh vyhlášky zavádí povinnost, že při předcházení stavu nouze nebude možné zahájit </w:t>
      </w:r>
      <w:r w:rsidRPr="005F755B">
        <w:rPr>
          <w:rFonts w:ascii="Arial" w:hAnsi="Arial" w:cs="Arial"/>
          <w:bCs/>
        </w:rPr>
        <w:t xml:space="preserve">topnou sezónu mimo otopné období, které zůstává v rozpětí 1. září až 31. května následujícího roku, příp. se zahájí, když průměrná denní teplota venkovního </w:t>
      </w:r>
      <w:r w:rsidRPr="005F755B">
        <w:rPr>
          <w:rFonts w:ascii="Arial" w:hAnsi="Arial" w:cs="Arial"/>
          <w:bCs/>
        </w:rPr>
        <w:lastRenderedPageBreak/>
        <w:t>vzduchu v příslušném místě nebo lokalitě poklesne pod +13 °C ve 2 dnech po sobě následujících a podle vývoje počasí nelze očekávat zvýšení této teploty nad +13 °C pro následující den</w:t>
      </w:r>
      <w:r w:rsidR="00C81CE3">
        <w:rPr>
          <w:rFonts w:ascii="Arial" w:hAnsi="Arial" w:cs="Arial"/>
          <w:bCs/>
        </w:rPr>
        <w:t xml:space="preserve">. </w:t>
      </w:r>
    </w:p>
    <w:p w14:paraId="7A3B9E7E" w14:textId="77777777" w:rsidR="00C30132" w:rsidRDefault="00C30132" w:rsidP="00FA0734">
      <w:pPr>
        <w:spacing w:line="360" w:lineRule="auto"/>
        <w:jc w:val="both"/>
        <w:rPr>
          <w:rFonts w:ascii="Arial" w:hAnsi="Arial" w:cs="Arial"/>
          <w:bCs/>
        </w:rPr>
      </w:pPr>
    </w:p>
    <w:p w14:paraId="4BF79CFB" w14:textId="4C293FC9" w:rsidR="005D492D" w:rsidRDefault="00C81DC2" w:rsidP="00FA0734">
      <w:pPr>
        <w:spacing w:line="360" w:lineRule="auto"/>
        <w:jc w:val="both"/>
        <w:rPr>
          <w:rFonts w:ascii="Arial" w:hAnsi="Arial" w:cs="Arial"/>
          <w:bCs/>
        </w:rPr>
      </w:pPr>
      <w:r w:rsidRPr="00C81DC2">
        <w:rPr>
          <w:rFonts w:ascii="Arial" w:hAnsi="Arial" w:cs="Arial"/>
          <w:bCs/>
        </w:rPr>
        <w:t>Zavádí se průměrné teploty vnitřního vzduchu v pobytových i nepobytových místnostech, které je zapotřebí dosahovat. Tyto teploty jsou za účelem úspory tep</w:t>
      </w:r>
      <w:r w:rsidR="00F908FD">
        <w:rPr>
          <w:rFonts w:ascii="Arial" w:hAnsi="Arial" w:cs="Arial"/>
          <w:bCs/>
        </w:rPr>
        <w:t>elné energie</w:t>
      </w:r>
      <w:r w:rsidRPr="00C81DC2">
        <w:rPr>
          <w:rFonts w:ascii="Arial" w:hAnsi="Arial" w:cs="Arial"/>
          <w:bCs/>
        </w:rPr>
        <w:t xml:space="preserve"> snížené oproti návrhovým teplotám při projekci budov. Pro pobytové místnosti (byty) je to 18 °C. </w:t>
      </w:r>
      <w:r w:rsidR="004D4ECB" w:rsidRPr="004D4ECB">
        <w:rPr>
          <w:rFonts w:ascii="Arial" w:hAnsi="Arial" w:cs="Arial"/>
          <w:bCs/>
        </w:rPr>
        <w:t>Současný legislativní akt</w:t>
      </w:r>
      <w:r w:rsidR="004D4ECB">
        <w:rPr>
          <w:rStyle w:val="Znakapoznpodarou"/>
          <w:rFonts w:ascii="Arial" w:hAnsi="Arial" w:cs="Arial"/>
          <w:bCs/>
        </w:rPr>
        <w:footnoteReference w:id="1"/>
      </w:r>
      <w:r w:rsidR="004D4ECB" w:rsidRPr="004D4ECB">
        <w:rPr>
          <w:rFonts w:ascii="Arial" w:hAnsi="Arial" w:cs="Arial"/>
          <w:bCs/>
        </w:rPr>
        <w:t xml:space="preserve"> </w:t>
      </w:r>
      <w:r w:rsidRPr="00C81DC2">
        <w:rPr>
          <w:rFonts w:ascii="Arial" w:hAnsi="Arial" w:cs="Arial"/>
          <w:bCs/>
        </w:rPr>
        <w:t>umožn</w:t>
      </w:r>
      <w:r w:rsidR="004D4ECB">
        <w:rPr>
          <w:rFonts w:ascii="Arial" w:hAnsi="Arial" w:cs="Arial"/>
          <w:bCs/>
        </w:rPr>
        <w:t>uje</w:t>
      </w:r>
      <w:r w:rsidRPr="00C81DC2">
        <w:rPr>
          <w:rFonts w:ascii="Arial" w:hAnsi="Arial" w:cs="Arial"/>
          <w:bCs/>
        </w:rPr>
        <w:t xml:space="preserve"> při shodě dvou třetin nájemníků zvýšit vnitřní teploty vzduchu (kupříkladu až na 24 °C), což navrhovaná úprava neumožňuje. Pro některé byty se tedy jedná o snížení teploty až o 6 °C a tím o snížení spotřeby energie na vytápění o cca 30 %.</w:t>
      </w:r>
      <w:r w:rsidR="00C81CE3">
        <w:rPr>
          <w:rFonts w:ascii="Arial" w:hAnsi="Arial" w:cs="Arial"/>
          <w:bCs/>
        </w:rPr>
        <w:t xml:space="preserve"> Nicméně pro zohlednění rozdílných podmínek v bytech s venkovními stěnami a zajištění tepelného komfortu umožňuje ve vybraných případech navržen</w:t>
      </w:r>
      <w:r w:rsidR="00D74D81">
        <w:rPr>
          <w:rFonts w:ascii="Arial" w:hAnsi="Arial" w:cs="Arial"/>
          <w:bCs/>
        </w:rPr>
        <w:t>á</w:t>
      </w:r>
      <w:r w:rsidR="00C81CE3">
        <w:rPr>
          <w:rFonts w:ascii="Arial" w:hAnsi="Arial" w:cs="Arial"/>
          <w:bCs/>
        </w:rPr>
        <w:t xml:space="preserve"> právní úprava </w:t>
      </w:r>
      <w:r w:rsidR="00D74D81">
        <w:rPr>
          <w:rFonts w:ascii="Arial" w:hAnsi="Arial" w:cs="Arial"/>
          <w:bCs/>
        </w:rPr>
        <w:t xml:space="preserve">navýšení </w:t>
      </w:r>
      <w:r w:rsidR="00C81CE3">
        <w:rPr>
          <w:rFonts w:ascii="Arial" w:hAnsi="Arial" w:cs="Arial"/>
          <w:bCs/>
        </w:rPr>
        <w:t xml:space="preserve">do výše 3 °C. </w:t>
      </w:r>
      <w:r w:rsidR="005D492D">
        <w:rPr>
          <w:rFonts w:ascii="Arial" w:hAnsi="Arial" w:cs="Arial"/>
          <w:bCs/>
        </w:rPr>
        <w:t xml:space="preserve">Snížení teplot, resp. omezení spotřeby zemního plynu v budovách pro vytápění či ohřev teplé vody pomůže k jeho úspoře a </w:t>
      </w:r>
      <w:r w:rsidR="005D5725">
        <w:rPr>
          <w:rFonts w:ascii="Arial" w:hAnsi="Arial" w:cs="Arial"/>
          <w:bCs/>
        </w:rPr>
        <w:t>prodlouží dodávky tepla o</w:t>
      </w:r>
      <w:r w:rsidR="005D492D">
        <w:rPr>
          <w:rFonts w:ascii="Arial" w:hAnsi="Arial" w:cs="Arial"/>
          <w:bCs/>
        </w:rPr>
        <w:t xml:space="preserve"> několik týdnů či měsíců.</w:t>
      </w:r>
    </w:p>
    <w:p w14:paraId="60F24113" w14:textId="77777777" w:rsidR="004D4ECB" w:rsidRDefault="004D4ECB" w:rsidP="00FA0734">
      <w:pPr>
        <w:spacing w:line="360" w:lineRule="auto"/>
        <w:jc w:val="both"/>
        <w:rPr>
          <w:rFonts w:ascii="Arial" w:hAnsi="Arial" w:cs="Arial"/>
          <w:bCs/>
        </w:rPr>
      </w:pPr>
    </w:p>
    <w:p w14:paraId="3A85125C" w14:textId="12D8BF90" w:rsidR="00E02A59" w:rsidRDefault="004D4ECB" w:rsidP="00FA0734">
      <w:pPr>
        <w:spacing w:line="360" w:lineRule="auto"/>
        <w:jc w:val="both"/>
        <w:rPr>
          <w:rFonts w:ascii="Arial" w:hAnsi="Arial" w:cs="Arial"/>
          <w:bCs/>
        </w:rPr>
      </w:pPr>
      <w:r>
        <w:rPr>
          <w:rFonts w:ascii="Arial" w:hAnsi="Arial" w:cs="Arial"/>
          <w:bCs/>
        </w:rPr>
        <w:t xml:space="preserve">Návrh vyhlášky jde ruku v ruce s návrhem </w:t>
      </w:r>
      <w:r w:rsidR="00C81CE3">
        <w:rPr>
          <w:rFonts w:ascii="Arial" w:hAnsi="Arial" w:cs="Arial"/>
          <w:bCs/>
        </w:rPr>
        <w:t>N</w:t>
      </w:r>
      <w:r w:rsidRPr="004D4ECB">
        <w:rPr>
          <w:rFonts w:ascii="Arial" w:hAnsi="Arial" w:cs="Arial"/>
          <w:bCs/>
        </w:rPr>
        <w:t>ařízení Rady o koordinovaných opatřeních ke snížení poptávky po plynu na základě článku 122 Smlouvy. Nové nařízení b</w:t>
      </w:r>
      <w:r>
        <w:rPr>
          <w:rFonts w:ascii="Arial" w:hAnsi="Arial" w:cs="Arial"/>
          <w:bCs/>
        </w:rPr>
        <w:t>ude</w:t>
      </w:r>
      <w:r w:rsidRPr="004D4ECB">
        <w:rPr>
          <w:rFonts w:ascii="Arial" w:hAnsi="Arial" w:cs="Arial"/>
          <w:bCs/>
        </w:rPr>
        <w:t xml:space="preserve"> všem členským státům stanov</w:t>
      </w:r>
      <w:r>
        <w:rPr>
          <w:rFonts w:ascii="Arial" w:hAnsi="Arial" w:cs="Arial"/>
          <w:bCs/>
        </w:rPr>
        <w:t>ovat</w:t>
      </w:r>
      <w:r w:rsidRPr="004D4ECB">
        <w:rPr>
          <w:rFonts w:ascii="Arial" w:hAnsi="Arial" w:cs="Arial"/>
          <w:bCs/>
        </w:rPr>
        <w:t xml:space="preserve"> za cíl snížit poptávku po plynu o 15 % mezi 1. srpnem 2022 a 31. březnem 2023. Nové nařízení by rovněž Komisi poskytlo možnost vyhlásit po konzultaci s členskými státy „</w:t>
      </w:r>
      <w:r w:rsidR="00026377">
        <w:rPr>
          <w:rFonts w:ascii="Arial" w:hAnsi="Arial" w:cs="Arial"/>
          <w:bCs/>
        </w:rPr>
        <w:t>unijní stav pohotovosti</w:t>
      </w:r>
      <w:r w:rsidRPr="004D4ECB">
        <w:rPr>
          <w:rFonts w:ascii="Arial" w:hAnsi="Arial" w:cs="Arial"/>
          <w:bCs/>
        </w:rPr>
        <w:t>“</w:t>
      </w:r>
      <w:r w:rsidR="00026377">
        <w:rPr>
          <w:rFonts w:ascii="Arial" w:hAnsi="Arial" w:cs="Arial"/>
          <w:bCs/>
        </w:rPr>
        <w:t>, co se týče</w:t>
      </w:r>
      <w:r w:rsidRPr="004D4ECB">
        <w:rPr>
          <w:rFonts w:ascii="Arial" w:hAnsi="Arial" w:cs="Arial"/>
          <w:bCs/>
        </w:rPr>
        <w:t xml:space="preserve"> bezpečnosti dodávek, která všem členským státům ukládá povinné snížení poptávky po plynu.</w:t>
      </w:r>
      <w:r w:rsidR="00F908FD">
        <w:rPr>
          <w:rFonts w:ascii="Arial" w:hAnsi="Arial" w:cs="Arial"/>
          <w:bCs/>
        </w:rPr>
        <w:t xml:space="preserve"> Návrh vyhlášky je jedním z</w:t>
      </w:r>
      <w:r w:rsidR="00C81CE3">
        <w:rPr>
          <w:rFonts w:ascii="Arial" w:hAnsi="Arial" w:cs="Arial"/>
          <w:bCs/>
        </w:rPr>
        <w:t> </w:t>
      </w:r>
      <w:r w:rsidR="00F908FD">
        <w:rPr>
          <w:rFonts w:ascii="Arial" w:hAnsi="Arial" w:cs="Arial"/>
          <w:bCs/>
        </w:rPr>
        <w:t>opatření uvedeného nařízení.</w:t>
      </w:r>
    </w:p>
    <w:bookmarkEnd w:id="2"/>
    <w:p w14:paraId="4081C8B9" w14:textId="77777777" w:rsidR="004D4ECB" w:rsidRPr="00FA0734" w:rsidRDefault="004D4ECB" w:rsidP="00FA0734">
      <w:pPr>
        <w:spacing w:line="360" w:lineRule="auto"/>
        <w:jc w:val="both"/>
        <w:rPr>
          <w:rFonts w:ascii="Arial" w:hAnsi="Arial" w:cs="Arial"/>
          <w:bCs/>
        </w:rPr>
      </w:pPr>
    </w:p>
    <w:p w14:paraId="35ACA286" w14:textId="2E1125AD" w:rsidR="00075778" w:rsidRPr="00075778" w:rsidRDefault="00075778" w:rsidP="00075778">
      <w:pPr>
        <w:spacing w:line="360" w:lineRule="auto"/>
        <w:jc w:val="both"/>
        <w:rPr>
          <w:rFonts w:ascii="Arial" w:hAnsi="Arial" w:cs="Arial"/>
          <w:bCs/>
        </w:rPr>
      </w:pPr>
      <w:r w:rsidRPr="00075778">
        <w:rPr>
          <w:rFonts w:ascii="Arial" w:hAnsi="Arial" w:cs="Arial"/>
          <w:bCs/>
        </w:rPr>
        <w:t xml:space="preserve">Dopisem ze dne </w:t>
      </w:r>
      <w:r w:rsidR="00A71E0E">
        <w:rPr>
          <w:rFonts w:ascii="Arial" w:hAnsi="Arial" w:cs="Arial"/>
          <w:bCs/>
        </w:rPr>
        <w:t xml:space="preserve">25. července 2022 č.j. </w:t>
      </w:r>
      <w:r w:rsidR="00A71E0E" w:rsidRPr="00A71E0E">
        <w:rPr>
          <w:rFonts w:ascii="Arial" w:hAnsi="Arial" w:cs="Arial"/>
          <w:bCs/>
        </w:rPr>
        <w:t>34568/2022-UVCR</w:t>
      </w:r>
      <w:r w:rsidR="00A71E0E">
        <w:rPr>
          <w:rFonts w:ascii="Arial" w:hAnsi="Arial" w:cs="Arial"/>
          <w:bCs/>
        </w:rPr>
        <w:t xml:space="preserve"> </w:t>
      </w:r>
      <w:r w:rsidRPr="00075778">
        <w:rPr>
          <w:rFonts w:ascii="Arial" w:hAnsi="Arial" w:cs="Arial"/>
          <w:bCs/>
        </w:rPr>
        <w:t>byla předsedou Legislativní rady vlády udělena výjimka ze zpracování RIA</w:t>
      </w:r>
      <w:bookmarkEnd w:id="0"/>
      <w:r w:rsidR="00D06081">
        <w:rPr>
          <w:rFonts w:ascii="Arial" w:hAnsi="Arial" w:cs="Arial"/>
          <w:bCs/>
        </w:rPr>
        <w:t xml:space="preserve"> a současn</w:t>
      </w:r>
      <w:r w:rsidR="00D13304">
        <w:rPr>
          <w:rFonts w:ascii="Arial" w:hAnsi="Arial" w:cs="Arial"/>
          <w:bCs/>
        </w:rPr>
        <w:t>ě</w:t>
      </w:r>
      <w:r w:rsidR="00D06081">
        <w:rPr>
          <w:rFonts w:ascii="Arial" w:hAnsi="Arial" w:cs="Arial"/>
          <w:bCs/>
        </w:rPr>
        <w:t xml:space="preserve"> bylo </w:t>
      </w:r>
      <w:r w:rsidR="00D06081">
        <w:rPr>
          <w:rFonts w:ascii="Arial" w:hAnsi="Arial" w:cs="Arial"/>
          <w:bCs/>
        </w:rPr>
        <w:t>připomínkové řízení</w:t>
      </w:r>
      <w:r w:rsidR="00D06081">
        <w:rPr>
          <w:rFonts w:ascii="Arial" w:hAnsi="Arial" w:cs="Arial"/>
          <w:bCs/>
        </w:rPr>
        <w:t xml:space="preserve"> zkráceno</w:t>
      </w:r>
      <w:r w:rsidR="000C68BE">
        <w:rPr>
          <w:rFonts w:ascii="Arial" w:hAnsi="Arial" w:cs="Arial"/>
          <w:bCs/>
        </w:rPr>
        <w:t xml:space="preserve"> </w:t>
      </w:r>
      <w:r w:rsidR="00D06081">
        <w:rPr>
          <w:rFonts w:ascii="Arial" w:hAnsi="Arial" w:cs="Arial"/>
          <w:bCs/>
        </w:rPr>
        <w:t>na</w:t>
      </w:r>
      <w:r w:rsidR="000C68BE">
        <w:rPr>
          <w:rFonts w:ascii="Arial" w:hAnsi="Arial" w:cs="Arial"/>
          <w:bCs/>
        </w:rPr>
        <w:t xml:space="preserve"> 8 pracovních dn</w:t>
      </w:r>
      <w:r w:rsidR="00B626FE">
        <w:rPr>
          <w:rFonts w:ascii="Arial" w:hAnsi="Arial" w:cs="Arial"/>
          <w:bCs/>
        </w:rPr>
        <w:t>ů</w:t>
      </w:r>
      <w:bookmarkStart w:id="3" w:name="_GoBack"/>
      <w:bookmarkEnd w:id="3"/>
      <w:r w:rsidR="00D06081">
        <w:rPr>
          <w:rFonts w:ascii="Arial" w:hAnsi="Arial" w:cs="Arial"/>
          <w:bCs/>
        </w:rPr>
        <w:t xml:space="preserve"> a zúženo na 7 připomínkových míst</w:t>
      </w:r>
      <w:r w:rsidR="000C68BE">
        <w:rPr>
          <w:rFonts w:ascii="Arial" w:hAnsi="Arial" w:cs="Arial"/>
          <w:bCs/>
        </w:rPr>
        <w:t>.</w:t>
      </w:r>
    </w:p>
    <w:p w14:paraId="07B7E9CE" w14:textId="77777777" w:rsidR="00075778" w:rsidRDefault="00075778" w:rsidP="00075778">
      <w:pPr>
        <w:pStyle w:val="Odstavecseseznamem"/>
        <w:spacing w:line="360" w:lineRule="auto"/>
        <w:jc w:val="both"/>
        <w:rPr>
          <w:rFonts w:ascii="Arial" w:hAnsi="Arial" w:cs="Arial"/>
          <w:b/>
          <w:bCs/>
        </w:rPr>
      </w:pPr>
    </w:p>
    <w:p w14:paraId="41A4E00D" w14:textId="6AC5D7C7" w:rsidR="00075778" w:rsidRPr="00075778" w:rsidRDefault="00075778" w:rsidP="00075778">
      <w:pPr>
        <w:pStyle w:val="Odstavecseseznamem"/>
        <w:numPr>
          <w:ilvl w:val="0"/>
          <w:numId w:val="2"/>
        </w:numPr>
        <w:rPr>
          <w:rFonts w:ascii="Arial" w:hAnsi="Arial" w:cs="Arial"/>
          <w:b/>
          <w:bCs/>
        </w:rPr>
      </w:pPr>
      <w:r w:rsidRPr="00075778">
        <w:rPr>
          <w:rFonts w:ascii="Arial" w:hAnsi="Arial" w:cs="Arial"/>
          <w:b/>
          <w:bCs/>
        </w:rPr>
        <w:t>ZHODNOCENÍ PLATNÉHO PRÁVNÍHO STAVU A ODŮVODNĚNÍ NEZBYTNOSTI JEHO ZMĚNY</w:t>
      </w:r>
    </w:p>
    <w:p w14:paraId="7EAA1D5C" w14:textId="77777777" w:rsidR="004D4ECB" w:rsidRDefault="004D4ECB" w:rsidP="004D4ECB">
      <w:pPr>
        <w:spacing w:line="360" w:lineRule="auto"/>
        <w:jc w:val="both"/>
        <w:rPr>
          <w:rFonts w:ascii="Arial" w:hAnsi="Arial" w:cs="Arial"/>
          <w:bCs/>
        </w:rPr>
      </w:pPr>
    </w:p>
    <w:p w14:paraId="724EDCF9" w14:textId="3346842B" w:rsidR="004D4ECB" w:rsidRPr="004D4ECB" w:rsidRDefault="004D4ECB" w:rsidP="004D4ECB">
      <w:pPr>
        <w:spacing w:line="360" w:lineRule="auto"/>
        <w:jc w:val="both"/>
        <w:rPr>
          <w:rFonts w:ascii="Arial" w:hAnsi="Arial" w:cs="Arial"/>
          <w:bCs/>
        </w:rPr>
      </w:pPr>
      <w:bookmarkStart w:id="4" w:name="_Hlk109721855"/>
      <w:r w:rsidRPr="004D4ECB">
        <w:rPr>
          <w:rFonts w:ascii="Arial" w:hAnsi="Arial" w:cs="Arial"/>
          <w:bCs/>
        </w:rPr>
        <w:lastRenderedPageBreak/>
        <w:t xml:space="preserve">Současný </w:t>
      </w:r>
      <w:r>
        <w:rPr>
          <w:rFonts w:ascii="Arial" w:hAnsi="Arial" w:cs="Arial"/>
          <w:bCs/>
        </w:rPr>
        <w:t xml:space="preserve">platný </w:t>
      </w:r>
      <w:r w:rsidRPr="004D4ECB">
        <w:rPr>
          <w:rFonts w:ascii="Arial" w:hAnsi="Arial" w:cs="Arial"/>
          <w:bCs/>
        </w:rPr>
        <w:t>legislativní akt pro oblast vytápění a ohřev teplé vody v budovách nelze účinně aplikovat v extrémní situaci</w:t>
      </w:r>
      <w:r>
        <w:rPr>
          <w:rFonts w:ascii="Arial" w:hAnsi="Arial" w:cs="Arial"/>
          <w:bCs/>
        </w:rPr>
        <w:t xml:space="preserve">, jako je </w:t>
      </w:r>
      <w:r w:rsidR="00AA1894">
        <w:rPr>
          <w:rFonts w:ascii="Arial" w:hAnsi="Arial" w:cs="Arial"/>
          <w:bCs/>
        </w:rPr>
        <w:t xml:space="preserve">předcházení stavu nouze nebo </w:t>
      </w:r>
      <w:r>
        <w:rPr>
          <w:rFonts w:ascii="Arial" w:hAnsi="Arial" w:cs="Arial"/>
          <w:bCs/>
        </w:rPr>
        <w:t xml:space="preserve">stav nouze v oblasti </w:t>
      </w:r>
      <w:r w:rsidR="00AA1894">
        <w:rPr>
          <w:rFonts w:ascii="Arial" w:hAnsi="Arial" w:cs="Arial"/>
          <w:bCs/>
        </w:rPr>
        <w:t>teplárenství</w:t>
      </w:r>
      <w:r w:rsidRPr="004D4ECB">
        <w:rPr>
          <w:rFonts w:ascii="Arial" w:hAnsi="Arial" w:cs="Arial"/>
          <w:bCs/>
        </w:rPr>
        <w:t xml:space="preserve">. </w:t>
      </w:r>
      <w:r>
        <w:rPr>
          <w:rFonts w:ascii="Arial" w:hAnsi="Arial" w:cs="Arial"/>
          <w:bCs/>
        </w:rPr>
        <w:t xml:space="preserve">Je tedy nezbytné </w:t>
      </w:r>
      <w:r w:rsidR="009B05EC">
        <w:rPr>
          <w:rFonts w:ascii="Arial" w:hAnsi="Arial" w:cs="Arial"/>
          <w:bCs/>
        </w:rPr>
        <w:t>definovat</w:t>
      </w:r>
      <w:r>
        <w:rPr>
          <w:rFonts w:ascii="Arial" w:hAnsi="Arial" w:cs="Arial"/>
          <w:bCs/>
        </w:rPr>
        <w:t xml:space="preserve"> postup, kterým se bude oblast vytápění a ohřevu teplé vody v budovách řídit, bude-li </w:t>
      </w:r>
      <w:r w:rsidR="0043409E">
        <w:rPr>
          <w:rFonts w:ascii="Arial" w:hAnsi="Arial" w:cs="Arial"/>
          <w:bCs/>
        </w:rPr>
        <w:t xml:space="preserve">docházet k nepravidelným </w:t>
      </w:r>
      <w:r w:rsidR="005D5725">
        <w:rPr>
          <w:rFonts w:ascii="Arial" w:hAnsi="Arial" w:cs="Arial"/>
          <w:bCs/>
        </w:rPr>
        <w:t xml:space="preserve">dodávkám </w:t>
      </w:r>
      <w:r w:rsidR="0043409E">
        <w:rPr>
          <w:rFonts w:ascii="Arial" w:hAnsi="Arial" w:cs="Arial"/>
          <w:bCs/>
        </w:rPr>
        <w:t xml:space="preserve">či úplnému zastavení dodávek </w:t>
      </w:r>
      <w:r>
        <w:rPr>
          <w:rFonts w:ascii="Arial" w:hAnsi="Arial" w:cs="Arial"/>
          <w:bCs/>
        </w:rPr>
        <w:t>zemního plynu</w:t>
      </w:r>
      <w:r w:rsidR="00D45D40">
        <w:rPr>
          <w:rFonts w:ascii="Arial" w:hAnsi="Arial" w:cs="Arial"/>
          <w:bCs/>
        </w:rPr>
        <w:t xml:space="preserve"> a dalších fosilních paliv</w:t>
      </w:r>
      <w:r>
        <w:rPr>
          <w:rFonts w:ascii="Arial" w:hAnsi="Arial" w:cs="Arial"/>
          <w:bCs/>
        </w:rPr>
        <w:t xml:space="preserve">. </w:t>
      </w:r>
    </w:p>
    <w:bookmarkEnd w:id="4"/>
    <w:p w14:paraId="46FE7361" w14:textId="77777777" w:rsidR="00075778" w:rsidRPr="00075778" w:rsidRDefault="00075778" w:rsidP="00075778">
      <w:pPr>
        <w:spacing w:line="360" w:lineRule="auto"/>
        <w:ind w:left="360"/>
        <w:jc w:val="both"/>
        <w:rPr>
          <w:rFonts w:ascii="Arial" w:hAnsi="Arial" w:cs="Arial"/>
          <w:bCs/>
        </w:rPr>
      </w:pPr>
    </w:p>
    <w:p w14:paraId="4D1ACB8E" w14:textId="2FE01FB8" w:rsidR="00D054A6" w:rsidRPr="0067466D" w:rsidRDefault="00D054A6" w:rsidP="0067466D">
      <w:pPr>
        <w:pStyle w:val="Odstavecseseznamem"/>
        <w:numPr>
          <w:ilvl w:val="0"/>
          <w:numId w:val="2"/>
        </w:numPr>
        <w:spacing w:line="360" w:lineRule="auto"/>
        <w:jc w:val="both"/>
        <w:rPr>
          <w:rFonts w:ascii="Arial" w:hAnsi="Arial" w:cs="Arial"/>
          <w:b/>
          <w:bCs/>
        </w:rPr>
      </w:pPr>
      <w:r w:rsidRPr="0067466D">
        <w:rPr>
          <w:rFonts w:ascii="Arial" w:hAnsi="Arial" w:cs="Arial"/>
          <w:b/>
          <w:bCs/>
        </w:rPr>
        <w:t>ZHODNOCENÍ SOULADU NAVRHOVANÉ PRÁVNÍ ÚPRAVY SE ZÁKONEM, K</w:t>
      </w:r>
      <w:r w:rsidR="00AB05C7" w:rsidRPr="0067466D">
        <w:rPr>
          <w:rFonts w:ascii="Arial" w:hAnsi="Arial" w:cs="Arial"/>
          <w:b/>
          <w:bCs/>
        </w:rPr>
        <w:t> </w:t>
      </w:r>
      <w:r w:rsidRPr="0067466D">
        <w:rPr>
          <w:rFonts w:ascii="Arial" w:hAnsi="Arial" w:cs="Arial"/>
          <w:b/>
          <w:bCs/>
        </w:rPr>
        <w:t>JEHOŽ PROVEDENÍ JE NAVRŽENA, VČETNĚ SOULADU SE ZÁKONNÝM ZMOCNĚNÍM K</w:t>
      </w:r>
      <w:r w:rsidR="00AB05C7" w:rsidRPr="0067466D">
        <w:rPr>
          <w:rFonts w:ascii="Arial" w:hAnsi="Arial" w:cs="Arial"/>
          <w:b/>
          <w:bCs/>
        </w:rPr>
        <w:t> </w:t>
      </w:r>
      <w:r w:rsidRPr="0067466D">
        <w:rPr>
          <w:rFonts w:ascii="Arial" w:hAnsi="Arial" w:cs="Arial"/>
          <w:b/>
          <w:bCs/>
        </w:rPr>
        <w:t>JEJÍMU VYDÁNÍ</w:t>
      </w:r>
      <w:r w:rsidR="00132115" w:rsidRPr="0067466D">
        <w:rPr>
          <w:rFonts w:ascii="Arial" w:hAnsi="Arial" w:cs="Arial"/>
          <w:b/>
          <w:bCs/>
        </w:rPr>
        <w:t>, ZHODNOCENÍ SOULADU S ÚSTAVNÍM POŘÁDKEM</w:t>
      </w:r>
    </w:p>
    <w:p w14:paraId="509BECE3" w14:textId="424A899A" w:rsidR="0070501A" w:rsidRPr="0067466D" w:rsidRDefault="0070501A" w:rsidP="0067466D">
      <w:pPr>
        <w:spacing w:line="360" w:lineRule="auto"/>
        <w:jc w:val="both"/>
        <w:rPr>
          <w:rFonts w:ascii="Arial" w:hAnsi="Arial" w:cs="Arial"/>
          <w:bCs/>
        </w:rPr>
      </w:pPr>
      <w:r w:rsidRPr="0067466D">
        <w:rPr>
          <w:rFonts w:ascii="Arial" w:hAnsi="Arial" w:cs="Arial"/>
          <w:bCs/>
        </w:rPr>
        <w:t>Návrh vyhlášky je plně v</w:t>
      </w:r>
      <w:r w:rsidR="00AB05C7" w:rsidRPr="0067466D">
        <w:rPr>
          <w:rFonts w:ascii="Arial" w:hAnsi="Arial" w:cs="Arial"/>
          <w:bCs/>
        </w:rPr>
        <w:t> </w:t>
      </w:r>
      <w:r w:rsidRPr="0067466D">
        <w:rPr>
          <w:rFonts w:ascii="Arial" w:hAnsi="Arial" w:cs="Arial"/>
          <w:bCs/>
        </w:rPr>
        <w:t>souladu se zákonem č. 406/2000 Sb.</w:t>
      </w:r>
      <w:r w:rsidR="00251B95" w:rsidRPr="0067466D">
        <w:rPr>
          <w:rFonts w:ascii="Arial" w:hAnsi="Arial" w:cs="Arial"/>
          <w:bCs/>
        </w:rPr>
        <w:t>,</w:t>
      </w:r>
      <w:r w:rsidR="00C81CE3">
        <w:rPr>
          <w:rFonts w:ascii="Arial" w:hAnsi="Arial" w:cs="Arial"/>
          <w:bCs/>
        </w:rPr>
        <w:t xml:space="preserve"> o hospodaření energií ve znění pozdějších předpisů (dále jen „zákon č. </w:t>
      </w:r>
      <w:r w:rsidR="00C81CE3" w:rsidRPr="0067466D">
        <w:rPr>
          <w:rFonts w:ascii="Arial" w:hAnsi="Arial" w:cs="Arial"/>
          <w:bCs/>
        </w:rPr>
        <w:t>406/2000 Sb.</w:t>
      </w:r>
      <w:r w:rsidR="00C81CE3">
        <w:rPr>
          <w:rFonts w:ascii="Arial" w:hAnsi="Arial" w:cs="Arial"/>
          <w:bCs/>
        </w:rPr>
        <w:t xml:space="preserve">“) </w:t>
      </w:r>
      <w:r w:rsidRPr="0067466D">
        <w:rPr>
          <w:rFonts w:ascii="Arial" w:hAnsi="Arial" w:cs="Arial"/>
          <w:bCs/>
        </w:rPr>
        <w:t xml:space="preserve"> k</w:t>
      </w:r>
      <w:r w:rsidR="00AB05C7" w:rsidRPr="0067466D">
        <w:rPr>
          <w:rFonts w:ascii="Arial" w:hAnsi="Arial" w:cs="Arial"/>
          <w:bCs/>
        </w:rPr>
        <w:t> </w:t>
      </w:r>
      <w:r w:rsidRPr="0067466D">
        <w:rPr>
          <w:rFonts w:ascii="Arial" w:hAnsi="Arial" w:cs="Arial"/>
          <w:bCs/>
        </w:rPr>
        <w:t>jehož provedení se navrhuje, a</w:t>
      </w:r>
      <w:r w:rsidR="00AB05C7" w:rsidRPr="0067466D">
        <w:rPr>
          <w:rFonts w:ascii="Arial" w:hAnsi="Arial" w:cs="Arial"/>
          <w:bCs/>
        </w:rPr>
        <w:t> </w:t>
      </w:r>
      <w:r w:rsidRPr="0067466D">
        <w:rPr>
          <w:rFonts w:ascii="Arial" w:hAnsi="Arial" w:cs="Arial"/>
          <w:bCs/>
        </w:rPr>
        <w:t>to konkrétně v</w:t>
      </w:r>
      <w:r w:rsidR="00AB05C7" w:rsidRPr="0067466D">
        <w:rPr>
          <w:rFonts w:ascii="Arial" w:hAnsi="Arial" w:cs="Arial"/>
          <w:bCs/>
        </w:rPr>
        <w:t> </w:t>
      </w:r>
      <w:r w:rsidRPr="0067466D">
        <w:rPr>
          <w:rFonts w:ascii="Arial" w:hAnsi="Arial" w:cs="Arial"/>
          <w:bCs/>
        </w:rPr>
        <w:t>souladu s</w:t>
      </w:r>
      <w:r w:rsidR="00AB05C7" w:rsidRPr="0067466D">
        <w:rPr>
          <w:rFonts w:ascii="Arial" w:hAnsi="Arial" w:cs="Arial"/>
          <w:bCs/>
        </w:rPr>
        <w:t> </w:t>
      </w:r>
      <w:r w:rsidRPr="0067466D">
        <w:rPr>
          <w:rFonts w:ascii="Arial" w:hAnsi="Arial" w:cs="Arial"/>
          <w:bCs/>
        </w:rPr>
        <w:t>ustanovením § 14 odst. 4, podle kterého je Ministerstvo průmyslu a</w:t>
      </w:r>
      <w:r w:rsidR="00AB05C7" w:rsidRPr="0067466D">
        <w:rPr>
          <w:rFonts w:ascii="Arial" w:hAnsi="Arial" w:cs="Arial"/>
          <w:bCs/>
        </w:rPr>
        <w:t> </w:t>
      </w:r>
      <w:r w:rsidRPr="0067466D">
        <w:rPr>
          <w:rFonts w:ascii="Arial" w:hAnsi="Arial" w:cs="Arial"/>
          <w:bCs/>
        </w:rPr>
        <w:t>obchodu zmocněno vydat vyhlášku k</w:t>
      </w:r>
      <w:r w:rsidR="00AB05C7" w:rsidRPr="0067466D">
        <w:rPr>
          <w:rFonts w:ascii="Arial" w:hAnsi="Arial" w:cs="Arial"/>
          <w:bCs/>
        </w:rPr>
        <w:t> </w:t>
      </w:r>
      <w:r w:rsidRPr="0067466D">
        <w:rPr>
          <w:rFonts w:ascii="Arial" w:hAnsi="Arial" w:cs="Arial"/>
          <w:bCs/>
        </w:rPr>
        <w:t xml:space="preserve">provedení § </w:t>
      </w:r>
      <w:r w:rsidR="00C04338" w:rsidRPr="0067466D">
        <w:rPr>
          <w:rFonts w:ascii="Arial" w:hAnsi="Arial" w:cs="Arial"/>
          <w:bCs/>
        </w:rPr>
        <w:t>7</w:t>
      </w:r>
      <w:r w:rsidRPr="0067466D">
        <w:rPr>
          <w:rFonts w:ascii="Arial" w:hAnsi="Arial" w:cs="Arial"/>
          <w:bCs/>
        </w:rPr>
        <w:t xml:space="preserve"> odst. </w:t>
      </w:r>
      <w:r w:rsidR="00C04338" w:rsidRPr="0067466D">
        <w:rPr>
          <w:rFonts w:ascii="Arial" w:hAnsi="Arial" w:cs="Arial"/>
          <w:bCs/>
        </w:rPr>
        <w:t>4 písm. a), c) a e)</w:t>
      </w:r>
      <w:r w:rsidRPr="0067466D">
        <w:rPr>
          <w:rFonts w:ascii="Arial" w:hAnsi="Arial" w:cs="Arial"/>
          <w:bCs/>
        </w:rPr>
        <w:t xml:space="preserve"> zákona č. 406/2000 Sb. V</w:t>
      </w:r>
      <w:r w:rsidR="00AB05C7" w:rsidRPr="0067466D">
        <w:rPr>
          <w:rFonts w:ascii="Arial" w:hAnsi="Arial" w:cs="Arial"/>
          <w:bCs/>
        </w:rPr>
        <w:t> </w:t>
      </w:r>
      <w:r w:rsidRPr="0067466D">
        <w:rPr>
          <w:rFonts w:ascii="Arial" w:hAnsi="Arial" w:cs="Arial"/>
          <w:bCs/>
        </w:rPr>
        <w:t>tomto směru návrh vyhlášky žádným způsobem nepřekračuje zákonné zmocnění ministerstva k</w:t>
      </w:r>
      <w:r w:rsidR="00AB05C7" w:rsidRPr="0067466D">
        <w:rPr>
          <w:rFonts w:ascii="Arial" w:hAnsi="Arial" w:cs="Arial"/>
          <w:bCs/>
        </w:rPr>
        <w:t> </w:t>
      </w:r>
      <w:r w:rsidRPr="0067466D">
        <w:rPr>
          <w:rFonts w:ascii="Arial" w:hAnsi="Arial" w:cs="Arial"/>
          <w:bCs/>
        </w:rPr>
        <w:t>jejímu vydání.</w:t>
      </w:r>
    </w:p>
    <w:p w14:paraId="08DB9D28" w14:textId="4F4FE8DB" w:rsidR="0070501A" w:rsidRPr="0067466D" w:rsidRDefault="0070501A" w:rsidP="0067466D">
      <w:pPr>
        <w:spacing w:line="360" w:lineRule="auto"/>
        <w:jc w:val="both"/>
        <w:rPr>
          <w:rFonts w:ascii="Arial" w:hAnsi="Arial" w:cs="Arial"/>
          <w:bCs/>
        </w:rPr>
      </w:pPr>
      <w:r w:rsidRPr="0067466D">
        <w:rPr>
          <w:rFonts w:ascii="Arial" w:hAnsi="Arial" w:cs="Arial"/>
          <w:bCs/>
        </w:rPr>
        <w:t>Návrh vyhlášky je v</w:t>
      </w:r>
      <w:r w:rsidR="00AB05C7" w:rsidRPr="0067466D">
        <w:rPr>
          <w:rFonts w:ascii="Arial" w:hAnsi="Arial" w:cs="Arial"/>
          <w:bCs/>
        </w:rPr>
        <w:t> </w:t>
      </w:r>
      <w:r w:rsidRPr="0067466D">
        <w:rPr>
          <w:rFonts w:ascii="Arial" w:hAnsi="Arial" w:cs="Arial"/>
          <w:bCs/>
        </w:rPr>
        <w:t>souladu s</w:t>
      </w:r>
      <w:r w:rsidR="00AB05C7" w:rsidRPr="0067466D">
        <w:rPr>
          <w:rFonts w:ascii="Arial" w:hAnsi="Arial" w:cs="Arial"/>
          <w:bCs/>
        </w:rPr>
        <w:t> </w:t>
      </w:r>
      <w:r w:rsidRPr="0067466D">
        <w:rPr>
          <w:rFonts w:ascii="Arial" w:hAnsi="Arial" w:cs="Arial"/>
          <w:bCs/>
        </w:rPr>
        <w:t>§ 24 zákona č. 2/1969 Sb., o</w:t>
      </w:r>
      <w:r w:rsidR="00AB05C7" w:rsidRPr="0067466D">
        <w:rPr>
          <w:rFonts w:ascii="Arial" w:hAnsi="Arial" w:cs="Arial"/>
          <w:bCs/>
        </w:rPr>
        <w:t> </w:t>
      </w:r>
      <w:r w:rsidRPr="0067466D">
        <w:rPr>
          <w:rFonts w:ascii="Arial" w:hAnsi="Arial" w:cs="Arial"/>
          <w:bCs/>
        </w:rPr>
        <w:t>zřízení ministerstev a</w:t>
      </w:r>
      <w:r w:rsidR="00AB05C7" w:rsidRPr="0067466D">
        <w:rPr>
          <w:rFonts w:ascii="Arial" w:hAnsi="Arial" w:cs="Arial"/>
          <w:bCs/>
        </w:rPr>
        <w:t> </w:t>
      </w:r>
      <w:r w:rsidRPr="0067466D">
        <w:rPr>
          <w:rFonts w:ascii="Arial" w:hAnsi="Arial" w:cs="Arial"/>
          <w:bCs/>
        </w:rPr>
        <w:t>jiných ústředních orgánů státní správy České republiky, ve znění pozdějších předpisů.</w:t>
      </w:r>
    </w:p>
    <w:p w14:paraId="1C629584" w14:textId="77777777" w:rsidR="00132115" w:rsidRPr="0067466D" w:rsidRDefault="00132115" w:rsidP="0067466D">
      <w:pPr>
        <w:spacing w:line="360" w:lineRule="auto"/>
        <w:jc w:val="both"/>
        <w:rPr>
          <w:rFonts w:ascii="Arial" w:hAnsi="Arial" w:cs="Arial"/>
          <w:bCs/>
        </w:rPr>
      </w:pPr>
      <w:r w:rsidRPr="0067466D">
        <w:rPr>
          <w:rFonts w:ascii="Arial" w:hAnsi="Arial" w:cs="Arial"/>
          <w:bCs/>
        </w:rPr>
        <w:t>Předkládaný návrh je v plném souladu s ústavním pořádkem České republiky, který stanoví čl. 112 ústavního zákona č. 1/1993 Sb., Ústava České republiky (dále jen „Ústava ČR“), zejména s </w:t>
      </w:r>
    </w:p>
    <w:p w14:paraId="0D0EACB1" w14:textId="77777777" w:rsidR="00132115" w:rsidRPr="0067466D" w:rsidRDefault="00132115" w:rsidP="0067466D">
      <w:pPr>
        <w:pStyle w:val="Odstavecseseznamem"/>
        <w:numPr>
          <w:ilvl w:val="0"/>
          <w:numId w:val="12"/>
        </w:numPr>
        <w:suppressAutoHyphens/>
        <w:spacing w:line="360" w:lineRule="auto"/>
        <w:rPr>
          <w:rFonts w:ascii="Arial" w:hAnsi="Arial" w:cs="Arial"/>
          <w:bCs/>
        </w:rPr>
      </w:pPr>
      <w:r w:rsidRPr="0067466D">
        <w:rPr>
          <w:rFonts w:ascii="Arial" w:hAnsi="Arial" w:cs="Arial"/>
          <w:bCs/>
        </w:rPr>
        <w:t>čl. 2 odst. 3 Ústavy ČR, podle něhož lze státní moc uplatňovat jen v případech, v mezích a způsoby, které stanoví zákon,</w:t>
      </w:r>
    </w:p>
    <w:p w14:paraId="0703BD93" w14:textId="77777777" w:rsidR="00132115" w:rsidRPr="0067466D" w:rsidRDefault="00132115" w:rsidP="0067466D">
      <w:pPr>
        <w:pStyle w:val="Odstavecseseznamem"/>
        <w:numPr>
          <w:ilvl w:val="0"/>
          <w:numId w:val="12"/>
        </w:numPr>
        <w:suppressAutoHyphens/>
        <w:spacing w:line="360" w:lineRule="auto"/>
        <w:jc w:val="both"/>
        <w:rPr>
          <w:rFonts w:ascii="Arial" w:hAnsi="Arial" w:cs="Arial"/>
          <w:bCs/>
        </w:rPr>
      </w:pPr>
      <w:r w:rsidRPr="0067466D">
        <w:rPr>
          <w:rFonts w:ascii="Arial" w:hAnsi="Arial" w:cs="Arial"/>
          <w:bCs/>
        </w:rPr>
        <w:t xml:space="preserve">čl. 2 odst. 4 Ústavy ČR, podle něhož každý občan může činit, co není zákonem zakázáno, a nikdo nesmí být nucen činit, co zákon neukládá, </w:t>
      </w:r>
    </w:p>
    <w:p w14:paraId="358C5784" w14:textId="77777777" w:rsidR="00132115" w:rsidRPr="0067466D" w:rsidRDefault="00132115" w:rsidP="0067466D">
      <w:pPr>
        <w:pStyle w:val="Odstavecseseznamem"/>
        <w:numPr>
          <w:ilvl w:val="0"/>
          <w:numId w:val="12"/>
        </w:numPr>
        <w:suppressAutoHyphens/>
        <w:spacing w:line="360" w:lineRule="auto"/>
        <w:jc w:val="both"/>
        <w:rPr>
          <w:rFonts w:ascii="Arial" w:hAnsi="Arial" w:cs="Arial"/>
          <w:bCs/>
        </w:rPr>
      </w:pPr>
      <w:r w:rsidRPr="0067466D">
        <w:rPr>
          <w:rFonts w:ascii="Arial" w:hAnsi="Arial" w:cs="Arial"/>
          <w:bCs/>
        </w:rPr>
        <w:t>čl. 41 odst. 2 Ústavy, podle kterého má vláda právo zákonodárné iniciativy, a také v souladu s § 24 zákona č. 2/1969 Sb., o zřízení ministerstev a jiných ústředních orgánů státní správy České republiky, ve znění pozdějších předpisů, který mimo jiné uvádí, že ministerstva připravují návrhy zákonů a jiných právních předpisů týkajících se věcí, které patří do jejich působnosti, jakož i návrhy, jejichž přípravu jim uložila vláda,</w:t>
      </w:r>
    </w:p>
    <w:p w14:paraId="640635BF" w14:textId="77777777" w:rsidR="00132115" w:rsidRPr="0067466D" w:rsidRDefault="00132115" w:rsidP="0067466D">
      <w:pPr>
        <w:pStyle w:val="Odstavecseseznamem"/>
        <w:numPr>
          <w:ilvl w:val="0"/>
          <w:numId w:val="12"/>
        </w:numPr>
        <w:suppressAutoHyphens/>
        <w:spacing w:line="360" w:lineRule="auto"/>
        <w:jc w:val="both"/>
        <w:rPr>
          <w:rFonts w:ascii="Arial" w:hAnsi="Arial" w:cs="Arial"/>
          <w:bCs/>
        </w:rPr>
      </w:pPr>
      <w:r w:rsidRPr="0067466D">
        <w:rPr>
          <w:rFonts w:ascii="Arial" w:hAnsi="Arial" w:cs="Arial"/>
          <w:bCs/>
        </w:rPr>
        <w:t>čl. 79 odst. 1 Ústavy, podle něhož lze působnost správních orgánů stanovit pouze zákonem.</w:t>
      </w:r>
    </w:p>
    <w:p w14:paraId="5D48D593" w14:textId="77777777" w:rsidR="00132115" w:rsidRPr="0067466D" w:rsidRDefault="00132115" w:rsidP="0067466D">
      <w:pPr>
        <w:spacing w:line="360" w:lineRule="auto"/>
        <w:jc w:val="both"/>
        <w:rPr>
          <w:rFonts w:ascii="Arial" w:hAnsi="Arial" w:cs="Arial"/>
          <w:bCs/>
        </w:rPr>
      </w:pPr>
      <w:r w:rsidRPr="0067466D">
        <w:rPr>
          <w:rFonts w:ascii="Arial" w:hAnsi="Arial" w:cs="Arial"/>
          <w:bCs/>
        </w:rPr>
        <w:lastRenderedPageBreak/>
        <w:t>Navrhovaná právní úprava je rovněž v souladu s Listinou základních práv a svobod, vyhlášenou usnesením předsednictva České národní rady č. 2/1993 Sb., jako součást ústavního pořádku České republiky (dále jen „Listina základních práv a svobod“), a to zejména s</w:t>
      </w:r>
    </w:p>
    <w:p w14:paraId="4E36458A" w14:textId="77777777" w:rsidR="00132115" w:rsidRPr="0067466D" w:rsidRDefault="00132115" w:rsidP="0067466D">
      <w:pPr>
        <w:pStyle w:val="Odstavecseseznamem"/>
        <w:numPr>
          <w:ilvl w:val="0"/>
          <w:numId w:val="12"/>
        </w:numPr>
        <w:suppressAutoHyphens/>
        <w:spacing w:line="360" w:lineRule="auto"/>
        <w:jc w:val="both"/>
        <w:rPr>
          <w:rFonts w:ascii="Arial" w:hAnsi="Arial" w:cs="Arial"/>
          <w:bCs/>
        </w:rPr>
      </w:pPr>
      <w:r w:rsidRPr="0067466D">
        <w:rPr>
          <w:rFonts w:ascii="Arial" w:hAnsi="Arial" w:cs="Arial"/>
          <w:bCs/>
        </w:rPr>
        <w:t>čl. 2 odst. 2 Listiny základních práv a svobod, podle které lze státní moc uplatňovat jen v případech a v mezích stanovených zákonem, a to způsobem, který zákon stanoví,</w:t>
      </w:r>
    </w:p>
    <w:p w14:paraId="13169082" w14:textId="77777777" w:rsidR="00132115" w:rsidRPr="0067466D" w:rsidRDefault="00132115" w:rsidP="0067466D">
      <w:pPr>
        <w:pStyle w:val="Odstavecseseznamem"/>
        <w:numPr>
          <w:ilvl w:val="0"/>
          <w:numId w:val="12"/>
        </w:numPr>
        <w:suppressAutoHyphens/>
        <w:spacing w:line="360" w:lineRule="auto"/>
        <w:jc w:val="both"/>
        <w:rPr>
          <w:rFonts w:ascii="Arial" w:hAnsi="Arial" w:cs="Arial"/>
          <w:bCs/>
        </w:rPr>
      </w:pPr>
      <w:r w:rsidRPr="0067466D">
        <w:rPr>
          <w:rFonts w:ascii="Arial" w:hAnsi="Arial" w:cs="Arial"/>
          <w:bCs/>
        </w:rPr>
        <w:t>čl. 2 odst. 3 Listiny základních práv a svobod, podle které může každý činit, co není zákonem zakázáno, a nikdo nesmí být nucen činit, co zákon neukládá,</w:t>
      </w:r>
    </w:p>
    <w:p w14:paraId="63B288BE" w14:textId="77777777" w:rsidR="00132115" w:rsidRPr="0067466D" w:rsidRDefault="00132115" w:rsidP="0067466D">
      <w:pPr>
        <w:pStyle w:val="Odstavecseseznamem"/>
        <w:numPr>
          <w:ilvl w:val="0"/>
          <w:numId w:val="12"/>
        </w:numPr>
        <w:suppressAutoHyphens/>
        <w:spacing w:line="360" w:lineRule="auto"/>
        <w:jc w:val="both"/>
        <w:rPr>
          <w:rFonts w:ascii="Arial" w:hAnsi="Arial" w:cs="Arial"/>
          <w:bCs/>
        </w:rPr>
      </w:pPr>
      <w:r w:rsidRPr="0067466D">
        <w:rPr>
          <w:rFonts w:ascii="Arial" w:hAnsi="Arial" w:cs="Arial"/>
          <w:bCs/>
        </w:rPr>
        <w:t>čl. 4 odst. 1 Listiny základních práv a svobod, podle které mohou být povinnosti ukládány toliko na základě zákona a v jeho mezích a jen při zachování základních práv a svobod.</w:t>
      </w:r>
    </w:p>
    <w:p w14:paraId="6C28AF17" w14:textId="77777777" w:rsidR="0070501A" w:rsidRPr="0067466D" w:rsidRDefault="0070501A" w:rsidP="0067466D">
      <w:pPr>
        <w:spacing w:line="360" w:lineRule="auto"/>
        <w:jc w:val="both"/>
        <w:rPr>
          <w:rFonts w:ascii="Arial" w:hAnsi="Arial" w:cs="Arial"/>
          <w:bCs/>
        </w:rPr>
      </w:pPr>
    </w:p>
    <w:p w14:paraId="6FD201F5" w14:textId="6A4B945C" w:rsidR="00D054A6" w:rsidRPr="0067466D" w:rsidRDefault="00D054A6" w:rsidP="0067466D">
      <w:pPr>
        <w:pStyle w:val="Odstavecseseznamem"/>
        <w:numPr>
          <w:ilvl w:val="0"/>
          <w:numId w:val="2"/>
        </w:numPr>
        <w:spacing w:line="360" w:lineRule="auto"/>
        <w:jc w:val="both"/>
        <w:rPr>
          <w:rFonts w:ascii="Arial" w:hAnsi="Arial" w:cs="Arial"/>
          <w:b/>
          <w:bCs/>
        </w:rPr>
      </w:pPr>
      <w:r w:rsidRPr="0067466D">
        <w:rPr>
          <w:rFonts w:ascii="Arial" w:hAnsi="Arial" w:cs="Arial"/>
          <w:b/>
          <w:bCs/>
        </w:rPr>
        <w:t>ZHODNOCENÍ SOULADU NAVRHOVANÉ PRÁVNÍ ÚPRAVY S</w:t>
      </w:r>
      <w:r w:rsidR="00AB05C7" w:rsidRPr="0067466D">
        <w:rPr>
          <w:rFonts w:ascii="Arial" w:hAnsi="Arial" w:cs="Arial"/>
          <w:b/>
          <w:bCs/>
        </w:rPr>
        <w:t> </w:t>
      </w:r>
      <w:r w:rsidRPr="0067466D">
        <w:rPr>
          <w:rFonts w:ascii="Arial" w:hAnsi="Arial" w:cs="Arial"/>
          <w:b/>
          <w:bCs/>
        </w:rPr>
        <w:t>PŘEDPISY EVROPSKÉ UNIE, JUDIKATUROU SOUDNÍCH ORGÁNŮ EVROPSKÉ UNIE A</w:t>
      </w:r>
      <w:r w:rsidR="00AB05C7" w:rsidRPr="0067466D">
        <w:rPr>
          <w:rFonts w:ascii="Arial" w:hAnsi="Arial" w:cs="Arial"/>
          <w:b/>
          <w:bCs/>
        </w:rPr>
        <w:t> </w:t>
      </w:r>
      <w:r w:rsidRPr="0067466D">
        <w:rPr>
          <w:rFonts w:ascii="Arial" w:hAnsi="Arial" w:cs="Arial"/>
          <w:b/>
          <w:bCs/>
        </w:rPr>
        <w:t>OBECNÝMI PRÁVNÍMI ZÁSADAMI PRÁVA EVROPSKÉ UNIE, POKUD SE NA VZTAHY, JEŽ MAJÍ BÝT PŘEDMĚTEM PRÁVNÍ ÚPRAVY, VZTAHUJÍ, S</w:t>
      </w:r>
      <w:r w:rsidR="00AB05C7" w:rsidRPr="0067466D">
        <w:rPr>
          <w:rFonts w:ascii="Arial" w:hAnsi="Arial" w:cs="Arial"/>
          <w:b/>
          <w:bCs/>
        </w:rPr>
        <w:t> </w:t>
      </w:r>
      <w:r w:rsidRPr="0067466D">
        <w:rPr>
          <w:rFonts w:ascii="Arial" w:hAnsi="Arial" w:cs="Arial"/>
          <w:b/>
          <w:bCs/>
        </w:rPr>
        <w:t>UVEDENÍM TĚCHTO PŘEDPISŮ EVROPSKÉ UNIE, JUDIKATURY SOUDNÍCH ORGÁNŮ EVROPSKÉ UNIE A</w:t>
      </w:r>
      <w:r w:rsidR="00AB05C7" w:rsidRPr="0067466D">
        <w:rPr>
          <w:rFonts w:ascii="Arial" w:hAnsi="Arial" w:cs="Arial"/>
          <w:b/>
          <w:bCs/>
        </w:rPr>
        <w:t> </w:t>
      </w:r>
      <w:r w:rsidRPr="0067466D">
        <w:rPr>
          <w:rFonts w:ascii="Arial" w:hAnsi="Arial" w:cs="Arial"/>
          <w:b/>
          <w:bCs/>
        </w:rPr>
        <w:t>OBECNÝCH PRÁVNÍCH ZÁSAD PRÁVA EVROPSKÉ UNIE A</w:t>
      </w:r>
      <w:r w:rsidR="00AB05C7" w:rsidRPr="0067466D">
        <w:rPr>
          <w:rFonts w:ascii="Arial" w:hAnsi="Arial" w:cs="Arial"/>
          <w:b/>
          <w:bCs/>
        </w:rPr>
        <w:t> </w:t>
      </w:r>
      <w:r w:rsidRPr="0067466D">
        <w:rPr>
          <w:rFonts w:ascii="Arial" w:hAnsi="Arial" w:cs="Arial"/>
          <w:b/>
          <w:bCs/>
        </w:rPr>
        <w:t>JEJICH ZÁKLADNÍ CHARAKTERISTIKY</w:t>
      </w:r>
    </w:p>
    <w:p w14:paraId="32764F6C" w14:textId="5C755BCA" w:rsidR="0070501A" w:rsidRPr="0067466D" w:rsidRDefault="0070501A" w:rsidP="0067466D">
      <w:pPr>
        <w:spacing w:line="360" w:lineRule="auto"/>
        <w:jc w:val="both"/>
        <w:rPr>
          <w:rFonts w:ascii="Arial" w:hAnsi="Arial" w:cs="Arial"/>
          <w:bCs/>
        </w:rPr>
      </w:pPr>
      <w:r w:rsidRPr="0067466D">
        <w:rPr>
          <w:rFonts w:ascii="Arial" w:hAnsi="Arial" w:cs="Arial"/>
          <w:bCs/>
        </w:rPr>
        <w:t>Návrh vyhlášky není v</w:t>
      </w:r>
      <w:r w:rsidR="00AB05C7" w:rsidRPr="0067466D">
        <w:rPr>
          <w:rFonts w:ascii="Arial" w:hAnsi="Arial" w:cs="Arial"/>
          <w:bCs/>
        </w:rPr>
        <w:t> </w:t>
      </w:r>
      <w:r w:rsidRPr="0067466D">
        <w:rPr>
          <w:rFonts w:ascii="Arial" w:hAnsi="Arial" w:cs="Arial"/>
          <w:bCs/>
        </w:rPr>
        <w:t>rozporu s</w:t>
      </w:r>
      <w:r w:rsidR="00AB05C7" w:rsidRPr="0067466D">
        <w:rPr>
          <w:rFonts w:ascii="Arial" w:hAnsi="Arial" w:cs="Arial"/>
          <w:bCs/>
        </w:rPr>
        <w:t> </w:t>
      </w:r>
      <w:r w:rsidRPr="0067466D">
        <w:rPr>
          <w:rFonts w:ascii="Arial" w:hAnsi="Arial" w:cs="Arial"/>
          <w:bCs/>
        </w:rPr>
        <w:t>mezinárodními smlouvami, jimiž je Česká republika vázána, ani s</w:t>
      </w:r>
      <w:r w:rsidR="00AB05C7" w:rsidRPr="0067466D">
        <w:rPr>
          <w:rFonts w:ascii="Arial" w:hAnsi="Arial" w:cs="Arial"/>
          <w:bCs/>
        </w:rPr>
        <w:t> </w:t>
      </w:r>
      <w:r w:rsidRPr="0067466D">
        <w:rPr>
          <w:rFonts w:ascii="Arial" w:hAnsi="Arial" w:cs="Arial"/>
          <w:bCs/>
        </w:rPr>
        <w:t>právem Evropské unie či jeho obecnými právními zásadami. Rovněž není v</w:t>
      </w:r>
      <w:r w:rsidR="00AB05C7" w:rsidRPr="0067466D">
        <w:rPr>
          <w:rFonts w:ascii="Arial" w:hAnsi="Arial" w:cs="Arial"/>
          <w:bCs/>
        </w:rPr>
        <w:t> </w:t>
      </w:r>
      <w:r w:rsidRPr="0067466D">
        <w:rPr>
          <w:rFonts w:ascii="Arial" w:hAnsi="Arial" w:cs="Arial"/>
          <w:bCs/>
        </w:rPr>
        <w:t>rozporu s</w:t>
      </w:r>
      <w:r w:rsidR="00AB05C7" w:rsidRPr="0067466D">
        <w:rPr>
          <w:rFonts w:ascii="Arial" w:hAnsi="Arial" w:cs="Arial"/>
          <w:bCs/>
        </w:rPr>
        <w:t> </w:t>
      </w:r>
      <w:r w:rsidRPr="0067466D">
        <w:rPr>
          <w:rFonts w:ascii="Arial" w:hAnsi="Arial" w:cs="Arial"/>
          <w:bCs/>
        </w:rPr>
        <w:t xml:space="preserve">judikaturou soudních orgánů Evropské unie. </w:t>
      </w:r>
      <w:r w:rsidRPr="00E73ECD">
        <w:rPr>
          <w:rFonts w:ascii="Arial" w:hAnsi="Arial" w:cs="Arial"/>
          <w:bCs/>
        </w:rPr>
        <w:t>Návrh</w:t>
      </w:r>
      <w:r w:rsidR="00E73ECD" w:rsidRPr="00E73ECD">
        <w:rPr>
          <w:rFonts w:ascii="Arial" w:hAnsi="Arial" w:cs="Arial"/>
          <w:bCs/>
        </w:rPr>
        <w:t>em</w:t>
      </w:r>
      <w:r w:rsidRPr="00E73ECD">
        <w:rPr>
          <w:rFonts w:ascii="Arial" w:hAnsi="Arial" w:cs="Arial"/>
          <w:bCs/>
        </w:rPr>
        <w:t xml:space="preserve"> </w:t>
      </w:r>
      <w:r w:rsidR="001F3396" w:rsidRPr="00E73ECD">
        <w:rPr>
          <w:rFonts w:ascii="Arial" w:hAnsi="Arial" w:cs="Arial"/>
          <w:bCs/>
        </w:rPr>
        <w:t xml:space="preserve">vyhlášky </w:t>
      </w:r>
      <w:r w:rsidR="00E73ECD" w:rsidRPr="00E73ECD">
        <w:rPr>
          <w:rFonts w:ascii="Arial" w:hAnsi="Arial" w:cs="Arial"/>
          <w:bCs/>
        </w:rPr>
        <w:t>není dotčena</w:t>
      </w:r>
      <w:r w:rsidR="001F3396" w:rsidRPr="00E73ECD">
        <w:rPr>
          <w:rFonts w:ascii="Arial" w:hAnsi="Arial" w:cs="Arial"/>
          <w:bCs/>
        </w:rPr>
        <w:t xml:space="preserve"> transpozice </w:t>
      </w:r>
      <w:r w:rsidR="00CA06EA" w:rsidRPr="00E73ECD">
        <w:rPr>
          <w:rFonts w:ascii="Arial" w:hAnsi="Arial" w:cs="Arial"/>
          <w:bCs/>
        </w:rPr>
        <w:t>směrnice Evropského parlamentu a</w:t>
      </w:r>
      <w:r w:rsidR="00AB05C7" w:rsidRPr="00E73ECD">
        <w:rPr>
          <w:rFonts w:ascii="Arial" w:hAnsi="Arial" w:cs="Arial"/>
          <w:bCs/>
        </w:rPr>
        <w:t> </w:t>
      </w:r>
      <w:r w:rsidR="00CA06EA" w:rsidRPr="00E73ECD">
        <w:rPr>
          <w:rFonts w:ascii="Arial" w:hAnsi="Arial" w:cs="Arial"/>
          <w:bCs/>
        </w:rPr>
        <w:t xml:space="preserve">Rady (EU) </w:t>
      </w:r>
      <w:r w:rsidR="00C04338" w:rsidRPr="00E73ECD">
        <w:rPr>
          <w:rFonts w:ascii="Arial" w:hAnsi="Arial" w:cs="Arial"/>
          <w:bCs/>
        </w:rPr>
        <w:t>2010/31/EU</w:t>
      </w:r>
      <w:r w:rsidR="00CA06EA" w:rsidRPr="00E73ECD">
        <w:rPr>
          <w:rFonts w:ascii="Arial" w:hAnsi="Arial" w:cs="Arial"/>
          <w:bCs/>
        </w:rPr>
        <w:t xml:space="preserve"> ze dne </w:t>
      </w:r>
      <w:r w:rsidR="00C04338" w:rsidRPr="00E73ECD">
        <w:rPr>
          <w:rFonts w:ascii="Arial" w:hAnsi="Arial" w:cs="Arial"/>
          <w:bCs/>
        </w:rPr>
        <w:t>ze dne 19. května 2010</w:t>
      </w:r>
      <w:r w:rsidR="00CA06EA" w:rsidRPr="00E73ECD">
        <w:rPr>
          <w:rFonts w:ascii="Arial" w:hAnsi="Arial" w:cs="Arial"/>
          <w:bCs/>
        </w:rPr>
        <w:t xml:space="preserve"> o</w:t>
      </w:r>
      <w:r w:rsidR="00C04338" w:rsidRPr="00E73ECD">
        <w:rPr>
          <w:rFonts w:ascii="Arial" w:hAnsi="Arial" w:cs="Arial"/>
          <w:bCs/>
        </w:rPr>
        <w:t xml:space="preserve"> energetické náročnosti budov</w:t>
      </w:r>
      <w:r w:rsidR="00B46BDE" w:rsidRPr="00E73ECD">
        <w:rPr>
          <w:rFonts w:ascii="Arial" w:hAnsi="Arial" w:cs="Arial"/>
          <w:bCs/>
        </w:rPr>
        <w:t xml:space="preserve">. </w:t>
      </w:r>
    </w:p>
    <w:p w14:paraId="2544CFF9" w14:textId="77777777" w:rsidR="00603C59" w:rsidRPr="00075778" w:rsidRDefault="00603C59" w:rsidP="00075778">
      <w:pPr>
        <w:spacing w:line="360" w:lineRule="auto"/>
        <w:jc w:val="both"/>
        <w:rPr>
          <w:rFonts w:ascii="Arial" w:hAnsi="Arial" w:cs="Arial"/>
          <w:b/>
          <w:bCs/>
        </w:rPr>
      </w:pPr>
    </w:p>
    <w:p w14:paraId="43405237" w14:textId="48FDAF26" w:rsidR="00D054A6" w:rsidRPr="0067466D" w:rsidRDefault="00D054A6" w:rsidP="0067466D">
      <w:pPr>
        <w:pStyle w:val="Odstavecseseznamem"/>
        <w:numPr>
          <w:ilvl w:val="0"/>
          <w:numId w:val="2"/>
        </w:numPr>
        <w:spacing w:line="360" w:lineRule="auto"/>
        <w:jc w:val="both"/>
        <w:rPr>
          <w:rFonts w:ascii="Arial" w:hAnsi="Arial" w:cs="Arial"/>
          <w:b/>
          <w:bCs/>
        </w:rPr>
      </w:pPr>
      <w:r w:rsidRPr="0067466D">
        <w:rPr>
          <w:rFonts w:ascii="Arial" w:hAnsi="Arial" w:cs="Arial"/>
          <w:b/>
          <w:bCs/>
        </w:rPr>
        <w:t>PŘEDPOKLÁDANÝ HOSPODÁŘSKÝ A</w:t>
      </w:r>
      <w:r w:rsidR="00AB05C7" w:rsidRPr="0067466D">
        <w:rPr>
          <w:rFonts w:ascii="Arial" w:hAnsi="Arial" w:cs="Arial"/>
          <w:b/>
          <w:bCs/>
        </w:rPr>
        <w:t> </w:t>
      </w:r>
      <w:r w:rsidRPr="0067466D">
        <w:rPr>
          <w:rFonts w:ascii="Arial" w:hAnsi="Arial" w:cs="Arial"/>
          <w:b/>
          <w:bCs/>
        </w:rPr>
        <w:t>FINANČNÍ DOPAD NAVRHOVANÉ PRÁVNÍ ÚPRAVY NA STÁTNÍ ROZPOČET, OSTATNÍ VEŘEJNÉ ROZPOČTY, NA PODNIKATELSKÉ PROSTŘEDÍ ČESKÉ REPUBLIKY, DÁLE SOCIÁLNÍ DOPADY, VČETNĚ DOPADŮ NA SPECIFICKÉ SKUPINY OBYVATEL, ZEJMÉNA OSOBY SOCIÁLNĚ SLABÉ, OSOBY SE ZDRAVOTNÍM POSTIŽENÍM A</w:t>
      </w:r>
      <w:r w:rsidR="00AB05C7" w:rsidRPr="0067466D">
        <w:rPr>
          <w:rFonts w:ascii="Arial" w:hAnsi="Arial" w:cs="Arial"/>
          <w:b/>
          <w:bCs/>
        </w:rPr>
        <w:t> </w:t>
      </w:r>
      <w:r w:rsidRPr="0067466D">
        <w:rPr>
          <w:rFonts w:ascii="Arial" w:hAnsi="Arial" w:cs="Arial"/>
          <w:b/>
          <w:bCs/>
        </w:rPr>
        <w:t>NÁRODNOSTNÍ MENŠINY, A</w:t>
      </w:r>
      <w:r w:rsidR="00AB05C7" w:rsidRPr="0067466D">
        <w:rPr>
          <w:rFonts w:ascii="Arial" w:hAnsi="Arial" w:cs="Arial"/>
          <w:b/>
          <w:bCs/>
        </w:rPr>
        <w:t> </w:t>
      </w:r>
      <w:r w:rsidRPr="0067466D">
        <w:rPr>
          <w:rFonts w:ascii="Arial" w:hAnsi="Arial" w:cs="Arial"/>
          <w:b/>
          <w:bCs/>
        </w:rPr>
        <w:t>DOPADY NA ŽIVOTNÍ PROSTŘEDÍ</w:t>
      </w:r>
    </w:p>
    <w:p w14:paraId="159EE3EC" w14:textId="326AEB56" w:rsidR="00F96E5E" w:rsidRPr="0067466D" w:rsidRDefault="00F96E5E" w:rsidP="0067466D">
      <w:pPr>
        <w:pStyle w:val="Odstavecseseznamem"/>
        <w:spacing w:line="360" w:lineRule="auto"/>
        <w:ind w:left="0"/>
        <w:jc w:val="both"/>
        <w:rPr>
          <w:rFonts w:ascii="Arial" w:hAnsi="Arial" w:cs="Arial"/>
          <w:bCs/>
          <w:highlight w:val="yellow"/>
        </w:rPr>
      </w:pPr>
      <w:r w:rsidRPr="0067466D">
        <w:rPr>
          <w:rFonts w:ascii="Arial" w:hAnsi="Arial" w:cs="Arial"/>
          <w:bCs/>
        </w:rPr>
        <w:lastRenderedPageBreak/>
        <w:t>Návrh vyhlášky nezakládá nové nároky na státní rozpočet, ostatní veřejné rozpočty, na podnikatelské prostředí ČR ani nevyvolává jiné sociální dopady včetně dopadů na specifické skupiny obyvatel.</w:t>
      </w:r>
      <w:r w:rsidR="00C04338" w:rsidRPr="0067466D">
        <w:rPr>
          <w:rFonts w:ascii="Arial" w:hAnsi="Arial" w:cs="Arial"/>
          <w:bCs/>
        </w:rPr>
        <w:t xml:space="preserve"> </w:t>
      </w:r>
    </w:p>
    <w:p w14:paraId="2E923941" w14:textId="77777777" w:rsidR="005529D1" w:rsidRPr="0067466D" w:rsidRDefault="005B1EBC" w:rsidP="0067466D">
      <w:pPr>
        <w:pStyle w:val="Odstavecseseznamem"/>
        <w:spacing w:line="360" w:lineRule="auto"/>
        <w:ind w:left="0"/>
        <w:jc w:val="both"/>
        <w:rPr>
          <w:rFonts w:ascii="Arial" w:hAnsi="Arial" w:cs="Arial"/>
          <w:bCs/>
        </w:rPr>
      </w:pPr>
      <w:r w:rsidRPr="0067466D">
        <w:rPr>
          <w:rFonts w:ascii="Arial" w:hAnsi="Arial" w:cs="Arial"/>
          <w:bCs/>
        </w:rPr>
        <w:t xml:space="preserve">Z pohledu dopadu na životní prostředí </w:t>
      </w:r>
      <w:r w:rsidR="00A93029" w:rsidRPr="0067466D">
        <w:rPr>
          <w:rFonts w:ascii="Arial" w:hAnsi="Arial" w:cs="Arial"/>
          <w:bCs/>
        </w:rPr>
        <w:t xml:space="preserve">nedochází </w:t>
      </w:r>
      <w:r w:rsidRPr="0067466D">
        <w:rPr>
          <w:rFonts w:ascii="Arial" w:hAnsi="Arial" w:cs="Arial"/>
          <w:bCs/>
        </w:rPr>
        <w:t>návrh</w:t>
      </w:r>
      <w:r w:rsidR="00A93029" w:rsidRPr="0067466D">
        <w:rPr>
          <w:rFonts w:ascii="Arial" w:hAnsi="Arial" w:cs="Arial"/>
          <w:bCs/>
        </w:rPr>
        <w:t>em</w:t>
      </w:r>
      <w:r w:rsidRPr="0067466D">
        <w:rPr>
          <w:rFonts w:ascii="Arial" w:hAnsi="Arial" w:cs="Arial"/>
          <w:bCs/>
        </w:rPr>
        <w:t xml:space="preserve"> vyhlášky ke změně oproti stávající právní úpravě</w:t>
      </w:r>
      <w:r w:rsidR="005529D1" w:rsidRPr="0067466D">
        <w:rPr>
          <w:rFonts w:ascii="Arial" w:hAnsi="Arial" w:cs="Arial"/>
          <w:bCs/>
        </w:rPr>
        <w:t>.</w:t>
      </w:r>
    </w:p>
    <w:p w14:paraId="49348DCC" w14:textId="08E7FDB9" w:rsidR="00F96E5E" w:rsidRPr="0067466D" w:rsidRDefault="005B1EBC" w:rsidP="0067466D">
      <w:pPr>
        <w:pStyle w:val="Odstavecseseznamem"/>
        <w:spacing w:line="360" w:lineRule="auto"/>
        <w:ind w:left="0"/>
        <w:jc w:val="both"/>
        <w:rPr>
          <w:rFonts w:ascii="Arial" w:hAnsi="Arial" w:cs="Arial"/>
          <w:bCs/>
        </w:rPr>
      </w:pPr>
      <w:r w:rsidRPr="0067466D">
        <w:rPr>
          <w:rFonts w:ascii="Arial" w:hAnsi="Arial" w:cs="Arial"/>
          <w:bCs/>
        </w:rPr>
        <w:t xml:space="preserve"> </w:t>
      </w:r>
    </w:p>
    <w:p w14:paraId="0030BA15" w14:textId="7DE4152B" w:rsidR="00D054A6" w:rsidRPr="0067466D" w:rsidRDefault="00D054A6" w:rsidP="0067466D">
      <w:pPr>
        <w:pStyle w:val="Odstavecseseznamem"/>
        <w:numPr>
          <w:ilvl w:val="0"/>
          <w:numId w:val="2"/>
        </w:numPr>
        <w:spacing w:line="360" w:lineRule="auto"/>
        <w:jc w:val="both"/>
        <w:rPr>
          <w:rFonts w:ascii="Arial" w:hAnsi="Arial" w:cs="Arial"/>
          <w:b/>
          <w:bCs/>
        </w:rPr>
      </w:pPr>
      <w:r w:rsidRPr="0067466D">
        <w:rPr>
          <w:rFonts w:ascii="Arial" w:hAnsi="Arial" w:cs="Arial"/>
          <w:b/>
          <w:bCs/>
        </w:rPr>
        <w:t>ZHODNOCENÍ SOUČASNÉHO STAVU A</w:t>
      </w:r>
      <w:r w:rsidR="00AB05C7" w:rsidRPr="0067466D">
        <w:rPr>
          <w:rFonts w:ascii="Arial" w:hAnsi="Arial" w:cs="Arial"/>
          <w:b/>
          <w:bCs/>
        </w:rPr>
        <w:t> </w:t>
      </w:r>
      <w:r w:rsidRPr="0067466D">
        <w:rPr>
          <w:rFonts w:ascii="Arial" w:hAnsi="Arial" w:cs="Arial"/>
          <w:b/>
          <w:bCs/>
        </w:rPr>
        <w:t>DOPADŮ NAVRHOVANÉHO ŘEŠENÍ VE VZTAHU K</w:t>
      </w:r>
      <w:r w:rsidR="00AB05C7" w:rsidRPr="0067466D">
        <w:rPr>
          <w:rFonts w:ascii="Arial" w:hAnsi="Arial" w:cs="Arial"/>
          <w:b/>
          <w:bCs/>
        </w:rPr>
        <w:t> </w:t>
      </w:r>
      <w:r w:rsidRPr="0067466D">
        <w:rPr>
          <w:rFonts w:ascii="Arial" w:hAnsi="Arial" w:cs="Arial"/>
          <w:b/>
          <w:bCs/>
        </w:rPr>
        <w:t>ZÁKAZU DISKRIMINACE A</w:t>
      </w:r>
      <w:r w:rsidR="00AB05C7" w:rsidRPr="0067466D">
        <w:rPr>
          <w:rFonts w:ascii="Arial" w:hAnsi="Arial" w:cs="Arial"/>
          <w:b/>
          <w:bCs/>
        </w:rPr>
        <w:t> </w:t>
      </w:r>
      <w:r w:rsidRPr="0067466D">
        <w:rPr>
          <w:rFonts w:ascii="Arial" w:hAnsi="Arial" w:cs="Arial"/>
          <w:b/>
          <w:bCs/>
        </w:rPr>
        <w:t>VE VZTAHU K</w:t>
      </w:r>
      <w:r w:rsidR="00AB05C7" w:rsidRPr="0067466D">
        <w:rPr>
          <w:rFonts w:ascii="Arial" w:hAnsi="Arial" w:cs="Arial"/>
          <w:b/>
          <w:bCs/>
        </w:rPr>
        <w:t> </w:t>
      </w:r>
      <w:r w:rsidRPr="0067466D">
        <w:rPr>
          <w:rFonts w:ascii="Arial" w:hAnsi="Arial" w:cs="Arial"/>
          <w:b/>
          <w:bCs/>
        </w:rPr>
        <w:t>ROVNOSTI MUŽŮ A</w:t>
      </w:r>
      <w:r w:rsidR="00AB05C7" w:rsidRPr="0067466D">
        <w:rPr>
          <w:rFonts w:ascii="Arial" w:hAnsi="Arial" w:cs="Arial"/>
          <w:b/>
          <w:bCs/>
        </w:rPr>
        <w:t> </w:t>
      </w:r>
      <w:r w:rsidRPr="0067466D">
        <w:rPr>
          <w:rFonts w:ascii="Arial" w:hAnsi="Arial" w:cs="Arial"/>
          <w:b/>
          <w:bCs/>
        </w:rPr>
        <w:t>ŽEN</w:t>
      </w:r>
    </w:p>
    <w:p w14:paraId="5257B3E9" w14:textId="6491A42A" w:rsidR="00F56CBE" w:rsidRPr="0067466D" w:rsidRDefault="00F56CBE" w:rsidP="0067466D">
      <w:pPr>
        <w:spacing w:line="360" w:lineRule="auto"/>
        <w:jc w:val="both"/>
        <w:rPr>
          <w:rFonts w:ascii="Arial" w:hAnsi="Arial" w:cs="Arial"/>
          <w:bCs/>
        </w:rPr>
      </w:pPr>
      <w:r w:rsidRPr="0067466D">
        <w:rPr>
          <w:rFonts w:ascii="Arial" w:hAnsi="Arial" w:cs="Arial"/>
          <w:bCs/>
        </w:rPr>
        <w:t>Navrhovaná právní úprava, stejně jako platná právní úprava, nevytváří žádné rozdíly, které by byly v</w:t>
      </w:r>
      <w:r w:rsidR="00AB05C7" w:rsidRPr="0067466D">
        <w:rPr>
          <w:rFonts w:ascii="Arial" w:hAnsi="Arial" w:cs="Arial"/>
          <w:bCs/>
        </w:rPr>
        <w:t> </w:t>
      </w:r>
      <w:r w:rsidRPr="0067466D">
        <w:rPr>
          <w:rFonts w:ascii="Arial" w:hAnsi="Arial" w:cs="Arial"/>
          <w:bCs/>
        </w:rPr>
        <w:t>rozporu se zákazem diskriminace, a</w:t>
      </w:r>
      <w:r w:rsidR="00AB05C7" w:rsidRPr="0067466D">
        <w:rPr>
          <w:rFonts w:ascii="Arial" w:hAnsi="Arial" w:cs="Arial"/>
          <w:bCs/>
        </w:rPr>
        <w:t> </w:t>
      </w:r>
      <w:r w:rsidRPr="0067466D">
        <w:rPr>
          <w:rFonts w:ascii="Arial" w:hAnsi="Arial" w:cs="Arial"/>
          <w:bCs/>
        </w:rPr>
        <w:t>nemá dopad na rovnost mužů a</w:t>
      </w:r>
      <w:r w:rsidR="00AB05C7" w:rsidRPr="0067466D">
        <w:rPr>
          <w:rFonts w:ascii="Arial" w:hAnsi="Arial" w:cs="Arial"/>
          <w:bCs/>
        </w:rPr>
        <w:t> </w:t>
      </w:r>
      <w:r w:rsidRPr="0067466D">
        <w:rPr>
          <w:rFonts w:ascii="Arial" w:hAnsi="Arial" w:cs="Arial"/>
          <w:bCs/>
        </w:rPr>
        <w:t>žen.</w:t>
      </w:r>
    </w:p>
    <w:p w14:paraId="099DE350" w14:textId="77777777" w:rsidR="00F56CBE" w:rsidRPr="0067466D" w:rsidRDefault="00F56CBE" w:rsidP="0067466D">
      <w:pPr>
        <w:pStyle w:val="Odstavecseseznamem"/>
        <w:spacing w:line="360" w:lineRule="auto"/>
        <w:jc w:val="both"/>
        <w:rPr>
          <w:rFonts w:ascii="Arial" w:hAnsi="Arial" w:cs="Arial"/>
          <w:bCs/>
        </w:rPr>
      </w:pPr>
    </w:p>
    <w:p w14:paraId="09263C99" w14:textId="751CC26A" w:rsidR="00D054A6" w:rsidRPr="0067466D" w:rsidRDefault="00D054A6" w:rsidP="0067466D">
      <w:pPr>
        <w:pStyle w:val="Odstavecseseznamem"/>
        <w:numPr>
          <w:ilvl w:val="0"/>
          <w:numId w:val="2"/>
        </w:numPr>
        <w:spacing w:line="360" w:lineRule="auto"/>
        <w:jc w:val="both"/>
        <w:rPr>
          <w:rFonts w:ascii="Arial" w:hAnsi="Arial" w:cs="Arial"/>
          <w:b/>
          <w:bCs/>
        </w:rPr>
      </w:pPr>
      <w:r w:rsidRPr="0067466D">
        <w:rPr>
          <w:rFonts w:ascii="Arial" w:hAnsi="Arial" w:cs="Arial"/>
          <w:b/>
          <w:bCs/>
        </w:rPr>
        <w:t>ZHODNOCENÍ DOPADŮ NAVRHOVANÉHO ŘEŠENÍ VE VZTAHU K</w:t>
      </w:r>
      <w:r w:rsidR="00AB05C7" w:rsidRPr="0067466D">
        <w:rPr>
          <w:rFonts w:ascii="Arial" w:hAnsi="Arial" w:cs="Arial"/>
          <w:b/>
          <w:bCs/>
        </w:rPr>
        <w:t> </w:t>
      </w:r>
      <w:r w:rsidRPr="0067466D">
        <w:rPr>
          <w:rFonts w:ascii="Arial" w:hAnsi="Arial" w:cs="Arial"/>
          <w:b/>
          <w:bCs/>
        </w:rPr>
        <w:t>OCHRANĚ SOUKROMÍ A</w:t>
      </w:r>
      <w:r w:rsidR="00AB05C7" w:rsidRPr="0067466D">
        <w:rPr>
          <w:rFonts w:ascii="Arial" w:hAnsi="Arial" w:cs="Arial"/>
          <w:b/>
          <w:bCs/>
        </w:rPr>
        <w:t> </w:t>
      </w:r>
      <w:r w:rsidRPr="0067466D">
        <w:rPr>
          <w:rFonts w:ascii="Arial" w:hAnsi="Arial" w:cs="Arial"/>
          <w:b/>
          <w:bCs/>
        </w:rPr>
        <w:t>OSOBNÍCH ÚDAJŮ</w:t>
      </w:r>
    </w:p>
    <w:p w14:paraId="1AEF6677" w14:textId="28882051" w:rsidR="00F56CBE" w:rsidRPr="0067466D" w:rsidRDefault="00F56CBE" w:rsidP="0067466D">
      <w:pPr>
        <w:spacing w:line="360" w:lineRule="auto"/>
        <w:jc w:val="both"/>
        <w:rPr>
          <w:rFonts w:ascii="Arial" w:hAnsi="Arial" w:cs="Arial"/>
          <w:bCs/>
        </w:rPr>
      </w:pPr>
      <w:r w:rsidRPr="0067466D">
        <w:rPr>
          <w:rFonts w:ascii="Arial" w:hAnsi="Arial" w:cs="Arial"/>
          <w:bCs/>
        </w:rPr>
        <w:t>Návrh vyhlášky nebude mít dopad na ochranu soukromí a</w:t>
      </w:r>
      <w:r w:rsidR="00AB05C7" w:rsidRPr="0067466D">
        <w:rPr>
          <w:rFonts w:ascii="Arial" w:hAnsi="Arial" w:cs="Arial"/>
          <w:bCs/>
        </w:rPr>
        <w:t> </w:t>
      </w:r>
      <w:r w:rsidRPr="0067466D">
        <w:rPr>
          <w:rFonts w:ascii="Arial" w:hAnsi="Arial" w:cs="Arial"/>
          <w:bCs/>
        </w:rPr>
        <w:t>možnost zneužití osobních údajů.</w:t>
      </w:r>
    </w:p>
    <w:p w14:paraId="6D3AB580" w14:textId="77777777" w:rsidR="00F56CBE" w:rsidRPr="0067466D" w:rsidRDefault="00F56CBE" w:rsidP="0067466D">
      <w:pPr>
        <w:pStyle w:val="Odstavecseseznamem"/>
        <w:spacing w:line="360" w:lineRule="auto"/>
        <w:jc w:val="both"/>
        <w:rPr>
          <w:rFonts w:ascii="Arial" w:hAnsi="Arial" w:cs="Arial"/>
          <w:bCs/>
        </w:rPr>
      </w:pPr>
    </w:p>
    <w:p w14:paraId="3CC63858" w14:textId="52C0A0F6" w:rsidR="00F56CBE" w:rsidRDefault="00D054A6" w:rsidP="00075778">
      <w:pPr>
        <w:pStyle w:val="Odstavecseseznamem"/>
        <w:numPr>
          <w:ilvl w:val="0"/>
          <w:numId w:val="2"/>
        </w:numPr>
        <w:spacing w:line="360" w:lineRule="auto"/>
        <w:jc w:val="both"/>
        <w:rPr>
          <w:rFonts w:ascii="Arial" w:hAnsi="Arial" w:cs="Arial"/>
          <w:b/>
          <w:bCs/>
        </w:rPr>
      </w:pPr>
      <w:r w:rsidRPr="0067466D">
        <w:rPr>
          <w:rFonts w:ascii="Arial" w:hAnsi="Arial" w:cs="Arial"/>
          <w:b/>
          <w:bCs/>
        </w:rPr>
        <w:t>ZHODNOCENÍ KORUPČNÍCH RIZIK</w:t>
      </w:r>
    </w:p>
    <w:p w14:paraId="028FCA75" w14:textId="77777777" w:rsidR="00075778" w:rsidRPr="00075778" w:rsidRDefault="00075778" w:rsidP="00075778">
      <w:pPr>
        <w:spacing w:line="360" w:lineRule="auto"/>
        <w:jc w:val="both"/>
        <w:rPr>
          <w:rFonts w:ascii="Arial" w:hAnsi="Arial" w:cs="Arial"/>
          <w:bCs/>
        </w:rPr>
      </w:pPr>
      <w:r w:rsidRPr="00075778">
        <w:rPr>
          <w:rFonts w:ascii="Arial" w:hAnsi="Arial" w:cs="Arial"/>
        </w:rPr>
        <w:t>Předkladatel provedl zhodnocení korupčních rizik podle Metodiky CIA (</w:t>
      </w:r>
      <w:proofErr w:type="spellStart"/>
      <w:r w:rsidRPr="00075778">
        <w:rPr>
          <w:rFonts w:ascii="Arial" w:hAnsi="Arial" w:cs="Arial"/>
        </w:rPr>
        <w:t>Corruption</w:t>
      </w:r>
      <w:proofErr w:type="spellEnd"/>
      <w:r w:rsidRPr="00075778">
        <w:rPr>
          <w:rFonts w:ascii="Arial" w:hAnsi="Arial" w:cs="Arial"/>
        </w:rPr>
        <w:t xml:space="preserve"> </w:t>
      </w:r>
      <w:proofErr w:type="spellStart"/>
      <w:r w:rsidRPr="00075778">
        <w:rPr>
          <w:rFonts w:ascii="Arial" w:hAnsi="Arial" w:cs="Arial"/>
        </w:rPr>
        <w:t>Impact</w:t>
      </w:r>
      <w:proofErr w:type="spellEnd"/>
      <w:r w:rsidRPr="00075778">
        <w:rPr>
          <w:rFonts w:ascii="Arial" w:hAnsi="Arial" w:cs="Arial"/>
        </w:rPr>
        <w:t xml:space="preserve"> </w:t>
      </w:r>
      <w:proofErr w:type="spellStart"/>
      <w:r w:rsidRPr="00075778">
        <w:rPr>
          <w:rFonts w:ascii="Arial" w:hAnsi="Arial" w:cs="Arial"/>
        </w:rPr>
        <w:t>Assessment</w:t>
      </w:r>
      <w:proofErr w:type="spellEnd"/>
      <w:r w:rsidRPr="00075778">
        <w:rPr>
          <w:rFonts w:ascii="Arial" w:hAnsi="Arial" w:cs="Arial"/>
        </w:rPr>
        <w:t>; Metodika hodnocení korupčních rizik), zveřejněné na webové stránce Odboru střetu zájmů a boje proti korupci Ministerstva spravedlnosti Oddělení boje proti korupci. Jedná se o jednoduché vyhodnocení korupčních rizik předkladatelem. Při zpracování návrhu zohlednil předkladatel kritérium omezení korupčních příležitostí při aplikaci právní úpravy. S ohledem na to, že navrhovaná právní úprava je toliko povahy technické, respektuje zásadu co nejmenších zásahů do současného právního stavu a nezakládá žádná korupční rizika.</w:t>
      </w:r>
    </w:p>
    <w:p w14:paraId="2071962C" w14:textId="6A856635" w:rsidR="00075778" w:rsidRPr="0067466D" w:rsidRDefault="00075778" w:rsidP="00310F63">
      <w:pPr>
        <w:spacing w:after="120" w:line="360" w:lineRule="auto"/>
        <w:jc w:val="both"/>
        <w:rPr>
          <w:rFonts w:ascii="Arial" w:hAnsi="Arial" w:cs="Arial"/>
        </w:rPr>
      </w:pPr>
      <w:r w:rsidRPr="00075778">
        <w:rPr>
          <w:rFonts w:ascii="Arial" w:hAnsi="Arial" w:cs="Arial"/>
        </w:rPr>
        <w:t>Předkladatel posoudil podle požadavků Metodiky CIA, zda navrhovaná právní úprava naplňuje kritéria přiměřenosti, efektivity, odpovědnosti, opravných prostředků, kontrolních mechanizmů.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544"/>
        <w:gridCol w:w="3538"/>
      </w:tblGrid>
      <w:tr w:rsidR="00075778" w:rsidRPr="0067466D" w14:paraId="1A959592" w14:textId="77777777" w:rsidTr="003D5A94">
        <w:tc>
          <w:tcPr>
            <w:tcW w:w="1980" w:type="dxa"/>
            <w:shd w:val="clear" w:color="auto" w:fill="D9D9D9"/>
          </w:tcPr>
          <w:p w14:paraId="409AE88E" w14:textId="77777777" w:rsidR="00075778" w:rsidRPr="00075778" w:rsidRDefault="00075778" w:rsidP="003D5A94">
            <w:pPr>
              <w:spacing w:line="360" w:lineRule="auto"/>
              <w:jc w:val="both"/>
              <w:rPr>
                <w:rFonts w:ascii="Arial" w:hAnsi="Arial" w:cs="Arial"/>
                <w:b/>
              </w:rPr>
            </w:pPr>
            <w:r w:rsidRPr="00075778">
              <w:rPr>
                <w:rFonts w:ascii="Arial" w:hAnsi="Arial" w:cs="Arial"/>
                <w:b/>
              </w:rPr>
              <w:t>Kritérium</w:t>
            </w:r>
          </w:p>
        </w:tc>
        <w:tc>
          <w:tcPr>
            <w:tcW w:w="3544" w:type="dxa"/>
            <w:shd w:val="clear" w:color="auto" w:fill="D9D9D9"/>
          </w:tcPr>
          <w:p w14:paraId="11D86FDF" w14:textId="77777777" w:rsidR="00075778" w:rsidRPr="00075778" w:rsidRDefault="00075778" w:rsidP="003D5A94">
            <w:pPr>
              <w:spacing w:line="360" w:lineRule="auto"/>
              <w:jc w:val="both"/>
              <w:rPr>
                <w:rFonts w:ascii="Arial" w:hAnsi="Arial" w:cs="Arial"/>
                <w:b/>
              </w:rPr>
            </w:pPr>
            <w:r w:rsidRPr="00075778">
              <w:rPr>
                <w:rFonts w:ascii="Arial" w:hAnsi="Arial" w:cs="Arial"/>
                <w:b/>
              </w:rPr>
              <w:t xml:space="preserve">Zhodnocení naplnění kritéria definovaného v Metodice CIA </w:t>
            </w:r>
          </w:p>
          <w:p w14:paraId="37488126" w14:textId="77777777" w:rsidR="00075778" w:rsidRPr="00075778" w:rsidRDefault="00075778" w:rsidP="003D5A94">
            <w:pPr>
              <w:spacing w:line="360" w:lineRule="auto"/>
              <w:jc w:val="both"/>
              <w:rPr>
                <w:rFonts w:ascii="Arial" w:hAnsi="Arial" w:cs="Arial"/>
                <w:b/>
              </w:rPr>
            </w:pPr>
            <w:r w:rsidRPr="00075778">
              <w:rPr>
                <w:rFonts w:ascii="Arial" w:hAnsi="Arial" w:cs="Arial"/>
                <w:b/>
              </w:rPr>
              <w:lastRenderedPageBreak/>
              <w:t>ve vztahu k návrhu právního předpisu</w:t>
            </w:r>
          </w:p>
        </w:tc>
        <w:tc>
          <w:tcPr>
            <w:tcW w:w="3538" w:type="dxa"/>
            <w:shd w:val="clear" w:color="auto" w:fill="D9D9D9"/>
          </w:tcPr>
          <w:p w14:paraId="738F5F0D" w14:textId="77777777" w:rsidR="00075778" w:rsidRPr="00075778" w:rsidRDefault="00075778" w:rsidP="003D5A94">
            <w:pPr>
              <w:spacing w:line="360" w:lineRule="auto"/>
              <w:jc w:val="both"/>
              <w:rPr>
                <w:rFonts w:ascii="Arial" w:hAnsi="Arial" w:cs="Arial"/>
                <w:b/>
              </w:rPr>
            </w:pPr>
            <w:r w:rsidRPr="00075778">
              <w:rPr>
                <w:rFonts w:ascii="Arial" w:hAnsi="Arial" w:cs="Arial"/>
                <w:b/>
              </w:rPr>
              <w:lastRenderedPageBreak/>
              <w:t xml:space="preserve">Poznámka či vysvětlení </w:t>
            </w:r>
          </w:p>
          <w:p w14:paraId="5E3E642A" w14:textId="77777777" w:rsidR="00075778" w:rsidRPr="00075778" w:rsidRDefault="00075778" w:rsidP="003D5A94">
            <w:pPr>
              <w:spacing w:line="360" w:lineRule="auto"/>
              <w:jc w:val="both"/>
              <w:rPr>
                <w:rFonts w:ascii="Arial" w:hAnsi="Arial" w:cs="Arial"/>
                <w:b/>
              </w:rPr>
            </w:pPr>
            <w:r w:rsidRPr="00075778">
              <w:rPr>
                <w:rFonts w:ascii="Arial" w:hAnsi="Arial" w:cs="Arial"/>
                <w:b/>
              </w:rPr>
              <w:t>ke zhodnocení naplnění kritéria</w:t>
            </w:r>
          </w:p>
        </w:tc>
      </w:tr>
      <w:tr w:rsidR="00075778" w:rsidRPr="0067466D" w14:paraId="4CBB277D" w14:textId="77777777" w:rsidTr="003D5A94">
        <w:tc>
          <w:tcPr>
            <w:tcW w:w="1980" w:type="dxa"/>
            <w:shd w:val="clear" w:color="auto" w:fill="D9D9D9"/>
          </w:tcPr>
          <w:p w14:paraId="7797D49B" w14:textId="77777777" w:rsidR="00075778" w:rsidRPr="0067466D" w:rsidRDefault="00075778" w:rsidP="003D5A94">
            <w:pPr>
              <w:spacing w:line="360" w:lineRule="auto"/>
              <w:jc w:val="both"/>
              <w:rPr>
                <w:rFonts w:ascii="Arial" w:hAnsi="Arial" w:cs="Arial"/>
                <w:b/>
              </w:rPr>
            </w:pPr>
            <w:r w:rsidRPr="0067466D">
              <w:rPr>
                <w:rFonts w:ascii="Arial" w:hAnsi="Arial" w:cs="Arial"/>
                <w:b/>
              </w:rPr>
              <w:t>přiměřenost</w:t>
            </w:r>
          </w:p>
        </w:tc>
        <w:tc>
          <w:tcPr>
            <w:tcW w:w="3544" w:type="dxa"/>
          </w:tcPr>
          <w:p w14:paraId="16C444F5" w14:textId="77777777" w:rsidR="00075778" w:rsidRPr="0067466D" w:rsidRDefault="00075778" w:rsidP="003D5A94">
            <w:pPr>
              <w:spacing w:line="360" w:lineRule="auto"/>
              <w:jc w:val="both"/>
              <w:rPr>
                <w:rFonts w:ascii="Arial" w:hAnsi="Arial" w:cs="Arial"/>
              </w:rPr>
            </w:pPr>
            <w:r w:rsidRPr="0067466D">
              <w:rPr>
                <w:rFonts w:ascii="Arial" w:hAnsi="Arial" w:cs="Arial"/>
              </w:rPr>
              <w:t xml:space="preserve">návrh předpisu nerozšiřuje kompetence orgánů veřejné správy, </w:t>
            </w:r>
          </w:p>
          <w:p w14:paraId="02962E38" w14:textId="77777777" w:rsidR="00075778" w:rsidRPr="0067466D" w:rsidRDefault="00075778" w:rsidP="003D5A94">
            <w:pPr>
              <w:spacing w:line="360" w:lineRule="auto"/>
              <w:jc w:val="both"/>
              <w:rPr>
                <w:rFonts w:ascii="Arial" w:hAnsi="Arial" w:cs="Arial"/>
              </w:rPr>
            </w:pPr>
            <w:r w:rsidRPr="0067466D">
              <w:rPr>
                <w:rFonts w:ascii="Arial" w:hAnsi="Arial" w:cs="Arial"/>
              </w:rPr>
              <w:t>předpis je přiměřený množině vztahů, které má upravovat</w:t>
            </w:r>
          </w:p>
        </w:tc>
        <w:tc>
          <w:tcPr>
            <w:tcW w:w="3538" w:type="dxa"/>
          </w:tcPr>
          <w:p w14:paraId="5677CB32" w14:textId="77777777" w:rsidR="00075778" w:rsidRPr="0067466D" w:rsidRDefault="00075778" w:rsidP="003D5A94">
            <w:pPr>
              <w:spacing w:line="360" w:lineRule="auto"/>
              <w:jc w:val="both"/>
              <w:rPr>
                <w:rFonts w:ascii="Arial" w:hAnsi="Arial" w:cs="Arial"/>
              </w:rPr>
            </w:pPr>
            <w:r w:rsidRPr="0067466D">
              <w:rPr>
                <w:rFonts w:ascii="Arial" w:hAnsi="Arial" w:cs="Arial"/>
              </w:rPr>
              <w:t>návrh předpisu zasahuje do současně platného právního stavu co možná nejmenší měrou</w:t>
            </w:r>
          </w:p>
        </w:tc>
      </w:tr>
      <w:tr w:rsidR="00075778" w:rsidRPr="0067466D" w14:paraId="59E6C2A1" w14:textId="77777777" w:rsidTr="003D5A94">
        <w:tc>
          <w:tcPr>
            <w:tcW w:w="1980" w:type="dxa"/>
            <w:shd w:val="clear" w:color="auto" w:fill="D9D9D9"/>
          </w:tcPr>
          <w:p w14:paraId="42E6CD96" w14:textId="77777777" w:rsidR="00075778" w:rsidRPr="0067466D" w:rsidRDefault="00075778" w:rsidP="003D5A94">
            <w:pPr>
              <w:spacing w:line="360" w:lineRule="auto"/>
              <w:jc w:val="both"/>
              <w:rPr>
                <w:rFonts w:ascii="Arial" w:hAnsi="Arial" w:cs="Arial"/>
                <w:b/>
              </w:rPr>
            </w:pPr>
            <w:r w:rsidRPr="0067466D">
              <w:rPr>
                <w:rFonts w:ascii="Arial" w:hAnsi="Arial" w:cs="Arial"/>
                <w:b/>
              </w:rPr>
              <w:t>efektivita</w:t>
            </w:r>
          </w:p>
        </w:tc>
        <w:tc>
          <w:tcPr>
            <w:tcW w:w="3544" w:type="dxa"/>
          </w:tcPr>
          <w:p w14:paraId="2B69D1E7" w14:textId="77777777" w:rsidR="00075778" w:rsidRPr="0067466D" w:rsidRDefault="00075778" w:rsidP="003D5A94">
            <w:pPr>
              <w:spacing w:line="360" w:lineRule="auto"/>
              <w:jc w:val="both"/>
              <w:rPr>
                <w:rFonts w:ascii="Arial" w:hAnsi="Arial" w:cs="Arial"/>
              </w:rPr>
            </w:pPr>
            <w:r w:rsidRPr="0067466D">
              <w:rPr>
                <w:rFonts w:ascii="Arial" w:hAnsi="Arial" w:cs="Arial"/>
              </w:rPr>
              <w:t>předmětné právní předpisy umožňují kontrolovat a vynucovat dodržování stanovených povinností;</w:t>
            </w:r>
          </w:p>
          <w:p w14:paraId="15A65FAA" w14:textId="77777777" w:rsidR="00075778" w:rsidRPr="0067466D" w:rsidRDefault="00075778" w:rsidP="003D5A94">
            <w:pPr>
              <w:spacing w:line="360" w:lineRule="auto"/>
              <w:jc w:val="both"/>
              <w:rPr>
                <w:rFonts w:ascii="Arial" w:hAnsi="Arial" w:cs="Arial"/>
              </w:rPr>
            </w:pPr>
            <w:r w:rsidRPr="0067466D">
              <w:rPr>
                <w:rFonts w:ascii="Arial" w:hAnsi="Arial" w:cs="Arial"/>
              </w:rPr>
              <w:t>cílem návrhu předpisu je přímo podpořit možnosti efektivní implementace postupů stanovených v zákoně</w:t>
            </w:r>
          </w:p>
        </w:tc>
        <w:tc>
          <w:tcPr>
            <w:tcW w:w="3538" w:type="dxa"/>
          </w:tcPr>
          <w:p w14:paraId="2AB0C0F2" w14:textId="77777777" w:rsidR="00075778" w:rsidRPr="0067466D" w:rsidRDefault="00075778" w:rsidP="003D5A94">
            <w:pPr>
              <w:spacing w:line="360" w:lineRule="auto"/>
              <w:jc w:val="both"/>
              <w:rPr>
                <w:rFonts w:ascii="Arial" w:hAnsi="Arial" w:cs="Arial"/>
              </w:rPr>
            </w:pPr>
            <w:r w:rsidRPr="0067466D">
              <w:rPr>
                <w:rFonts w:ascii="Arial" w:hAnsi="Arial" w:cs="Arial"/>
              </w:rPr>
              <w:t>předmětem návrhu předpisu nebyly úpravy, které by měly vliv na změnu možnosti kontrolovat nebo vynucovat dodržování stanovených povinností</w:t>
            </w:r>
          </w:p>
        </w:tc>
      </w:tr>
      <w:tr w:rsidR="00075778" w:rsidRPr="0067466D" w14:paraId="3A3774B0" w14:textId="77777777" w:rsidTr="003D5A94">
        <w:tc>
          <w:tcPr>
            <w:tcW w:w="1980" w:type="dxa"/>
            <w:shd w:val="clear" w:color="auto" w:fill="D9D9D9"/>
          </w:tcPr>
          <w:p w14:paraId="04C5759B" w14:textId="77777777" w:rsidR="00075778" w:rsidRPr="0067466D" w:rsidRDefault="00075778" w:rsidP="003D5A94">
            <w:pPr>
              <w:spacing w:line="360" w:lineRule="auto"/>
              <w:jc w:val="both"/>
              <w:rPr>
                <w:rFonts w:ascii="Arial" w:hAnsi="Arial" w:cs="Arial"/>
                <w:b/>
              </w:rPr>
            </w:pPr>
            <w:r w:rsidRPr="0067466D">
              <w:rPr>
                <w:rFonts w:ascii="Arial" w:hAnsi="Arial" w:cs="Arial"/>
                <w:b/>
              </w:rPr>
              <w:t>odpovědnost</w:t>
            </w:r>
          </w:p>
        </w:tc>
        <w:tc>
          <w:tcPr>
            <w:tcW w:w="3544" w:type="dxa"/>
          </w:tcPr>
          <w:p w14:paraId="263D69FE" w14:textId="77777777" w:rsidR="00075778" w:rsidRPr="0067466D" w:rsidRDefault="00075778" w:rsidP="003D5A94">
            <w:pPr>
              <w:spacing w:line="360" w:lineRule="auto"/>
              <w:jc w:val="both"/>
              <w:rPr>
                <w:rFonts w:ascii="Arial" w:hAnsi="Arial" w:cs="Arial"/>
              </w:rPr>
            </w:pPr>
            <w:r w:rsidRPr="0067466D">
              <w:rPr>
                <w:rFonts w:ascii="Arial" w:hAnsi="Arial" w:cs="Arial"/>
              </w:rPr>
              <w:t>hodnocení tohoto kritéria není relevantní</w:t>
            </w:r>
          </w:p>
        </w:tc>
        <w:tc>
          <w:tcPr>
            <w:tcW w:w="3538" w:type="dxa"/>
          </w:tcPr>
          <w:p w14:paraId="1D17EEF8" w14:textId="77777777" w:rsidR="00075778" w:rsidRPr="0067466D" w:rsidRDefault="00075778" w:rsidP="003D5A94">
            <w:pPr>
              <w:spacing w:line="360" w:lineRule="auto"/>
              <w:jc w:val="both"/>
              <w:rPr>
                <w:rFonts w:ascii="Arial" w:hAnsi="Arial" w:cs="Arial"/>
              </w:rPr>
            </w:pPr>
            <w:r w:rsidRPr="0067466D">
              <w:rPr>
                <w:rFonts w:ascii="Arial" w:hAnsi="Arial" w:cs="Arial"/>
              </w:rPr>
              <w:t xml:space="preserve">návrh předpisu nijak nově neupravuje odpovědnosti, tyto zůstávají zachovány </w:t>
            </w:r>
          </w:p>
        </w:tc>
      </w:tr>
      <w:tr w:rsidR="00075778" w:rsidRPr="0067466D" w14:paraId="4715FFEF" w14:textId="77777777" w:rsidTr="003D5A94">
        <w:tc>
          <w:tcPr>
            <w:tcW w:w="1980" w:type="dxa"/>
            <w:shd w:val="clear" w:color="auto" w:fill="D9D9D9"/>
          </w:tcPr>
          <w:p w14:paraId="7C84608C" w14:textId="77777777" w:rsidR="00075778" w:rsidRPr="0067466D" w:rsidRDefault="00075778" w:rsidP="003D5A94">
            <w:pPr>
              <w:spacing w:line="360" w:lineRule="auto"/>
              <w:jc w:val="both"/>
              <w:rPr>
                <w:rFonts w:ascii="Arial" w:hAnsi="Arial" w:cs="Arial"/>
                <w:b/>
              </w:rPr>
            </w:pPr>
            <w:r w:rsidRPr="0067466D">
              <w:rPr>
                <w:rFonts w:ascii="Arial" w:hAnsi="Arial" w:cs="Arial"/>
                <w:b/>
              </w:rPr>
              <w:t>opravné prostředky</w:t>
            </w:r>
          </w:p>
        </w:tc>
        <w:tc>
          <w:tcPr>
            <w:tcW w:w="3544" w:type="dxa"/>
          </w:tcPr>
          <w:p w14:paraId="7D78C82D" w14:textId="77777777" w:rsidR="00075778" w:rsidRPr="0067466D" w:rsidRDefault="00075778" w:rsidP="003D5A94">
            <w:pPr>
              <w:spacing w:line="360" w:lineRule="auto"/>
              <w:jc w:val="both"/>
              <w:rPr>
                <w:rFonts w:ascii="Arial" w:hAnsi="Arial" w:cs="Arial"/>
              </w:rPr>
            </w:pPr>
            <w:r w:rsidRPr="0067466D">
              <w:rPr>
                <w:rFonts w:ascii="Arial" w:hAnsi="Arial" w:cs="Arial"/>
              </w:rPr>
              <w:t>hodnocení tohoto kritéria není relevantní</w:t>
            </w:r>
          </w:p>
        </w:tc>
        <w:tc>
          <w:tcPr>
            <w:tcW w:w="3538" w:type="dxa"/>
          </w:tcPr>
          <w:p w14:paraId="1DA46727" w14:textId="77777777" w:rsidR="00075778" w:rsidRPr="0067466D" w:rsidRDefault="00075778" w:rsidP="003D5A94">
            <w:pPr>
              <w:spacing w:line="360" w:lineRule="auto"/>
              <w:jc w:val="both"/>
              <w:rPr>
                <w:rFonts w:ascii="Arial" w:hAnsi="Arial" w:cs="Arial"/>
              </w:rPr>
            </w:pPr>
            <w:r w:rsidRPr="0067466D">
              <w:rPr>
                <w:rFonts w:ascii="Arial" w:hAnsi="Arial" w:cs="Arial"/>
              </w:rPr>
              <w:t>návrh předpisu nemění možnosti obrany proti nesprávnému postupu orgánu veřejné správy, problematika opravných prostředků není předmětem úpravy novely</w:t>
            </w:r>
          </w:p>
        </w:tc>
      </w:tr>
      <w:tr w:rsidR="00075778" w:rsidRPr="0067466D" w14:paraId="54876029" w14:textId="77777777" w:rsidTr="003D5A94">
        <w:tc>
          <w:tcPr>
            <w:tcW w:w="1980" w:type="dxa"/>
            <w:shd w:val="clear" w:color="auto" w:fill="D9D9D9"/>
          </w:tcPr>
          <w:p w14:paraId="32085994" w14:textId="77777777" w:rsidR="00075778" w:rsidRPr="0067466D" w:rsidRDefault="00075778" w:rsidP="003D5A94">
            <w:pPr>
              <w:spacing w:line="360" w:lineRule="auto"/>
              <w:jc w:val="both"/>
              <w:rPr>
                <w:rFonts w:ascii="Arial" w:hAnsi="Arial" w:cs="Arial"/>
                <w:b/>
              </w:rPr>
            </w:pPr>
            <w:r w:rsidRPr="0067466D">
              <w:rPr>
                <w:rFonts w:ascii="Arial" w:hAnsi="Arial" w:cs="Arial"/>
                <w:b/>
              </w:rPr>
              <w:t>kontrolní mechanizmy</w:t>
            </w:r>
          </w:p>
        </w:tc>
        <w:tc>
          <w:tcPr>
            <w:tcW w:w="3544" w:type="dxa"/>
          </w:tcPr>
          <w:p w14:paraId="05614FDF" w14:textId="77777777" w:rsidR="00075778" w:rsidRPr="0067466D" w:rsidRDefault="00075778" w:rsidP="003D5A94">
            <w:pPr>
              <w:spacing w:line="360" w:lineRule="auto"/>
              <w:jc w:val="both"/>
              <w:rPr>
                <w:rFonts w:ascii="Arial" w:hAnsi="Arial" w:cs="Arial"/>
              </w:rPr>
            </w:pPr>
            <w:r w:rsidRPr="0067466D">
              <w:rPr>
                <w:rFonts w:ascii="Arial" w:hAnsi="Arial" w:cs="Arial"/>
              </w:rPr>
              <w:t>hodnocení tohoto kritéria není relevantní</w:t>
            </w:r>
          </w:p>
        </w:tc>
        <w:tc>
          <w:tcPr>
            <w:tcW w:w="3538" w:type="dxa"/>
          </w:tcPr>
          <w:p w14:paraId="0141CDF8" w14:textId="77777777" w:rsidR="00075778" w:rsidRPr="0067466D" w:rsidRDefault="00075778" w:rsidP="003D5A94">
            <w:pPr>
              <w:spacing w:line="360" w:lineRule="auto"/>
              <w:jc w:val="both"/>
              <w:rPr>
                <w:rFonts w:ascii="Arial" w:hAnsi="Arial" w:cs="Arial"/>
              </w:rPr>
            </w:pPr>
            <w:r w:rsidRPr="0067466D">
              <w:rPr>
                <w:rFonts w:ascii="Arial" w:hAnsi="Arial" w:cs="Arial"/>
              </w:rPr>
              <w:t xml:space="preserve">návrhem předpisu nedochází k rozšíření kontrolních mechanizmů </w:t>
            </w:r>
          </w:p>
        </w:tc>
      </w:tr>
    </w:tbl>
    <w:p w14:paraId="6BCFFC60" w14:textId="77777777" w:rsidR="00075778" w:rsidRPr="00075778" w:rsidRDefault="00075778" w:rsidP="00075778">
      <w:pPr>
        <w:pStyle w:val="Odstavecseseznamem"/>
        <w:spacing w:line="360" w:lineRule="auto"/>
        <w:jc w:val="both"/>
        <w:rPr>
          <w:rFonts w:ascii="Arial" w:hAnsi="Arial" w:cs="Arial"/>
          <w:b/>
          <w:bCs/>
        </w:rPr>
      </w:pPr>
    </w:p>
    <w:p w14:paraId="3532F131" w14:textId="77777777" w:rsidR="00B35615" w:rsidRPr="0067466D" w:rsidRDefault="00D054A6" w:rsidP="0067466D">
      <w:pPr>
        <w:pStyle w:val="Odstavecseseznamem"/>
        <w:numPr>
          <w:ilvl w:val="0"/>
          <w:numId w:val="2"/>
        </w:numPr>
        <w:spacing w:line="360" w:lineRule="auto"/>
        <w:jc w:val="both"/>
        <w:rPr>
          <w:rFonts w:ascii="Arial" w:hAnsi="Arial" w:cs="Arial"/>
          <w:b/>
          <w:bCs/>
        </w:rPr>
      </w:pPr>
      <w:r w:rsidRPr="0067466D">
        <w:rPr>
          <w:rFonts w:ascii="Arial" w:hAnsi="Arial" w:cs="Arial"/>
          <w:b/>
          <w:bCs/>
        </w:rPr>
        <w:t>ZHODOCENÍ DOPADŮ NA BEZPEČNOST NEBO OBRANU STÁTU</w:t>
      </w:r>
      <w:r w:rsidR="00B35615" w:rsidRPr="0067466D">
        <w:rPr>
          <w:rFonts w:ascii="Arial" w:hAnsi="Arial" w:cs="Arial"/>
          <w:b/>
          <w:bCs/>
        </w:rPr>
        <w:t xml:space="preserve"> </w:t>
      </w:r>
    </w:p>
    <w:p w14:paraId="1B6C6867" w14:textId="7E5BAC6E" w:rsidR="00D054A6" w:rsidRPr="0067466D" w:rsidRDefault="00B35615" w:rsidP="0067466D">
      <w:pPr>
        <w:spacing w:line="360" w:lineRule="auto"/>
        <w:jc w:val="both"/>
        <w:rPr>
          <w:rFonts w:ascii="Arial" w:hAnsi="Arial" w:cs="Arial"/>
          <w:bCs/>
        </w:rPr>
      </w:pPr>
      <w:r w:rsidRPr="0067466D">
        <w:rPr>
          <w:rFonts w:ascii="Arial" w:hAnsi="Arial" w:cs="Arial"/>
          <w:bCs/>
        </w:rPr>
        <w:t>Návrh vyhlášky nemá dopady na bezpečnost nebo obranu státu.</w:t>
      </w:r>
    </w:p>
    <w:p w14:paraId="3B913B36" w14:textId="77777777" w:rsidR="00132115" w:rsidRPr="0067466D" w:rsidRDefault="00132115" w:rsidP="0067466D">
      <w:pPr>
        <w:spacing w:line="360" w:lineRule="auto"/>
        <w:jc w:val="both"/>
        <w:rPr>
          <w:rFonts w:ascii="Arial" w:hAnsi="Arial" w:cs="Arial"/>
          <w:bCs/>
        </w:rPr>
      </w:pPr>
    </w:p>
    <w:p w14:paraId="3285D326" w14:textId="6AA6FBD9" w:rsidR="00B35615" w:rsidRPr="0067466D" w:rsidRDefault="00B35615" w:rsidP="0067466D">
      <w:pPr>
        <w:pStyle w:val="Odstavecseseznamem"/>
        <w:numPr>
          <w:ilvl w:val="0"/>
          <w:numId w:val="2"/>
        </w:numPr>
        <w:spacing w:line="360" w:lineRule="auto"/>
        <w:jc w:val="both"/>
        <w:rPr>
          <w:rFonts w:ascii="Arial" w:hAnsi="Arial" w:cs="Arial"/>
          <w:b/>
          <w:bCs/>
        </w:rPr>
      </w:pPr>
      <w:r w:rsidRPr="0067466D">
        <w:rPr>
          <w:rFonts w:ascii="Arial" w:hAnsi="Arial" w:cs="Arial"/>
          <w:b/>
          <w:bCs/>
        </w:rPr>
        <w:t>ZHODNOCENÍ SOULADU NAVRHOVANÉ PRÁVNÍ ÚPRAVY SE ZÁSADAMI PRO TVORBU DIGITÁLNĚ PŘÍVĚTIVÉ LEGISLATIVY</w:t>
      </w:r>
    </w:p>
    <w:p w14:paraId="28EBC0AD" w14:textId="19DA709C" w:rsidR="00B35615" w:rsidRDefault="00F4089D" w:rsidP="00310F63">
      <w:pPr>
        <w:spacing w:line="360" w:lineRule="auto"/>
        <w:jc w:val="both"/>
        <w:rPr>
          <w:rFonts w:ascii="Arial" w:hAnsi="Arial" w:cs="Arial"/>
          <w:bCs/>
          <w:sz w:val="22"/>
          <w:szCs w:val="22"/>
        </w:rPr>
      </w:pPr>
      <w:r w:rsidRPr="0067466D">
        <w:rPr>
          <w:rFonts w:ascii="Arial" w:hAnsi="Arial" w:cs="Arial"/>
          <w:bCs/>
        </w:rPr>
        <w:lastRenderedPageBreak/>
        <w:t>Navrhovaná právní úprava nezasahuje do oblastí, které jsou upraveny zásadami pro tvorbu digitálně přívětivé legislativy.</w:t>
      </w:r>
    </w:p>
    <w:p w14:paraId="4EC891C7" w14:textId="77777777" w:rsidR="00D054A6" w:rsidRDefault="00D054A6" w:rsidP="00743C58">
      <w:pPr>
        <w:pStyle w:val="Odstavecseseznamem"/>
        <w:spacing w:after="240" w:line="360" w:lineRule="auto"/>
        <w:jc w:val="both"/>
        <w:rPr>
          <w:rFonts w:ascii="Arial" w:hAnsi="Arial" w:cs="Arial"/>
          <w:bCs/>
          <w:sz w:val="22"/>
          <w:szCs w:val="22"/>
        </w:rPr>
      </w:pPr>
    </w:p>
    <w:p w14:paraId="7F8D6E7C" w14:textId="77777777" w:rsidR="004E2431" w:rsidRPr="004E2431" w:rsidRDefault="004E2431" w:rsidP="00743C58">
      <w:pPr>
        <w:spacing w:after="240" w:line="360" w:lineRule="auto"/>
        <w:jc w:val="both"/>
        <w:rPr>
          <w:rFonts w:ascii="Arial" w:hAnsi="Arial" w:cs="Arial"/>
          <w:bCs/>
          <w:sz w:val="22"/>
          <w:szCs w:val="22"/>
        </w:rPr>
        <w:sectPr w:rsidR="004E2431" w:rsidRPr="004E2431" w:rsidSect="00736B2E">
          <w:footerReference w:type="default" r:id="rId8"/>
          <w:footerReference w:type="first" r:id="rId9"/>
          <w:pgSz w:w="11906" w:h="16838"/>
          <w:pgMar w:top="1417" w:right="1417" w:bottom="1417" w:left="1417" w:header="720" w:footer="720" w:gutter="0"/>
          <w:cols w:space="720"/>
          <w:titlePg/>
          <w:docGrid w:linePitch="360"/>
        </w:sectPr>
      </w:pPr>
    </w:p>
    <w:p w14:paraId="6FD47A2A" w14:textId="77777777" w:rsidR="004E2431" w:rsidRPr="0067466D" w:rsidRDefault="004E2431" w:rsidP="00743C58">
      <w:pPr>
        <w:spacing w:after="240" w:line="360" w:lineRule="auto"/>
        <w:jc w:val="both"/>
        <w:rPr>
          <w:rFonts w:ascii="Arial" w:hAnsi="Arial" w:cs="Arial"/>
          <w:b/>
          <w:bCs/>
          <w:u w:val="single"/>
        </w:rPr>
      </w:pPr>
      <w:r w:rsidRPr="0067466D">
        <w:rPr>
          <w:rFonts w:ascii="Arial" w:hAnsi="Arial" w:cs="Arial"/>
          <w:b/>
          <w:bCs/>
          <w:u w:val="single"/>
        </w:rPr>
        <w:lastRenderedPageBreak/>
        <w:t>II. Zvláštní část</w:t>
      </w:r>
    </w:p>
    <w:p w14:paraId="550C60D8" w14:textId="040B9822" w:rsidR="00603C59" w:rsidRDefault="00603C59" w:rsidP="00E86B52">
      <w:pPr>
        <w:spacing w:after="240"/>
        <w:jc w:val="both"/>
        <w:rPr>
          <w:rFonts w:ascii="Arial" w:hAnsi="Arial" w:cs="Arial"/>
          <w:b/>
          <w:bCs/>
        </w:rPr>
      </w:pPr>
      <w:r w:rsidRPr="0067466D">
        <w:rPr>
          <w:rFonts w:ascii="Arial" w:hAnsi="Arial" w:cs="Arial"/>
          <w:b/>
          <w:bCs/>
        </w:rPr>
        <w:t>K §</w:t>
      </w:r>
      <w:r w:rsidR="00075778">
        <w:rPr>
          <w:rFonts w:ascii="Arial" w:hAnsi="Arial" w:cs="Arial"/>
          <w:b/>
          <w:bCs/>
        </w:rPr>
        <w:t xml:space="preserve"> 1</w:t>
      </w:r>
      <w:r w:rsidR="0002469A">
        <w:rPr>
          <w:rFonts w:ascii="Arial" w:hAnsi="Arial" w:cs="Arial"/>
          <w:b/>
          <w:bCs/>
        </w:rPr>
        <w:t xml:space="preserve"> </w:t>
      </w:r>
      <w:r w:rsidR="0002469A" w:rsidRPr="0002469A">
        <w:rPr>
          <w:rFonts w:ascii="Arial" w:hAnsi="Arial" w:cs="Arial"/>
          <w:b/>
          <w:bCs/>
        </w:rPr>
        <w:t>Předmět úpravy</w:t>
      </w:r>
    </w:p>
    <w:p w14:paraId="0F65EBB5" w14:textId="77777777" w:rsidR="00241553" w:rsidRDefault="003B660D" w:rsidP="003B660D">
      <w:pPr>
        <w:spacing w:after="240"/>
        <w:jc w:val="both"/>
        <w:rPr>
          <w:rFonts w:ascii="Arial" w:hAnsi="Arial" w:cs="Arial"/>
          <w:bCs/>
        </w:rPr>
      </w:pPr>
      <w:r w:rsidRPr="003B660D">
        <w:rPr>
          <w:rFonts w:ascii="Arial" w:hAnsi="Arial" w:cs="Arial"/>
          <w:bCs/>
        </w:rPr>
        <w:t xml:space="preserve">Ustanovení vymezuje rozsah návrhu vyhlášky v intencích zákonného zmocnění. Zákon č. 406/2000 Sb. v ustanovení § </w:t>
      </w:r>
      <w:r>
        <w:rPr>
          <w:rFonts w:ascii="Arial" w:hAnsi="Arial" w:cs="Arial"/>
          <w:bCs/>
        </w:rPr>
        <w:t xml:space="preserve">7 </w:t>
      </w:r>
      <w:r w:rsidRPr="003B660D">
        <w:rPr>
          <w:rFonts w:ascii="Arial" w:hAnsi="Arial" w:cs="Arial"/>
          <w:bCs/>
        </w:rPr>
        <w:t xml:space="preserve">odst. </w:t>
      </w:r>
      <w:r>
        <w:rPr>
          <w:rFonts w:ascii="Arial" w:hAnsi="Arial" w:cs="Arial"/>
          <w:bCs/>
        </w:rPr>
        <w:t>4) písm. c)</w:t>
      </w:r>
      <w:r w:rsidRPr="003B660D">
        <w:rPr>
          <w:rFonts w:ascii="Arial" w:hAnsi="Arial" w:cs="Arial"/>
          <w:bCs/>
        </w:rPr>
        <w:t xml:space="preserve"> uvádí: </w:t>
      </w:r>
      <w:r>
        <w:rPr>
          <w:rFonts w:ascii="Arial" w:hAnsi="Arial" w:cs="Arial"/>
          <w:bCs/>
        </w:rPr>
        <w:t>S</w:t>
      </w:r>
      <w:r w:rsidRPr="003B660D">
        <w:rPr>
          <w:rFonts w:ascii="Arial" w:hAnsi="Arial" w:cs="Arial"/>
          <w:bCs/>
        </w:rPr>
        <w:t>tavebník, vlastník budovy nebo společenství vlastníků jednotek nebo v případě, že společenství vlastníků jednotek nevzniklo, správce jsou dále povinni</w:t>
      </w:r>
      <w:r>
        <w:rPr>
          <w:rFonts w:ascii="Arial" w:hAnsi="Arial" w:cs="Arial"/>
          <w:bCs/>
        </w:rPr>
        <w:t xml:space="preserve"> </w:t>
      </w:r>
      <w:r w:rsidRPr="003B660D">
        <w:rPr>
          <w:rFonts w:ascii="Arial" w:hAnsi="Arial" w:cs="Arial"/>
          <w:bCs/>
        </w:rPr>
        <w:t>řídit se pravidly pro vytápění a dodávku teplé vody stanovenými prováděcím právním předpisem</w:t>
      </w:r>
      <w:r>
        <w:rPr>
          <w:rFonts w:ascii="Arial" w:hAnsi="Arial" w:cs="Arial"/>
          <w:bCs/>
        </w:rPr>
        <w:t>.</w:t>
      </w:r>
      <w:r w:rsidR="00B0383F">
        <w:rPr>
          <w:rFonts w:ascii="Arial" w:hAnsi="Arial" w:cs="Arial"/>
          <w:bCs/>
        </w:rPr>
        <w:t xml:space="preserve"> </w:t>
      </w:r>
    </w:p>
    <w:p w14:paraId="1268DE4B" w14:textId="18C189D2" w:rsidR="006B3623" w:rsidRDefault="00B0383F" w:rsidP="003B660D">
      <w:pPr>
        <w:spacing w:after="240"/>
        <w:jc w:val="both"/>
        <w:rPr>
          <w:rFonts w:ascii="Arial" w:hAnsi="Arial" w:cs="Arial"/>
          <w:bCs/>
        </w:rPr>
      </w:pPr>
      <w:r>
        <w:rPr>
          <w:rFonts w:ascii="Arial" w:hAnsi="Arial" w:cs="Arial"/>
          <w:bCs/>
        </w:rPr>
        <w:t>Zároveň je specifikováno, že vyhláška se týká tepelné energie</w:t>
      </w:r>
      <w:r w:rsidR="008D6094">
        <w:rPr>
          <w:rFonts w:ascii="Arial" w:hAnsi="Arial" w:cs="Arial"/>
          <w:bCs/>
        </w:rPr>
        <w:t xml:space="preserve"> pro vytápění a ohřev teplé vody</w:t>
      </w:r>
      <w:r>
        <w:rPr>
          <w:rFonts w:ascii="Arial" w:hAnsi="Arial" w:cs="Arial"/>
          <w:bCs/>
        </w:rPr>
        <w:t xml:space="preserve">, k jejíž výrobě </w:t>
      </w:r>
      <w:r w:rsidR="00BF5A1D">
        <w:rPr>
          <w:rFonts w:ascii="Arial" w:hAnsi="Arial" w:cs="Arial"/>
          <w:bCs/>
        </w:rPr>
        <w:t>jsou využívány</w:t>
      </w:r>
      <w:r w:rsidR="00A20B77">
        <w:rPr>
          <w:rFonts w:ascii="Arial" w:hAnsi="Arial" w:cs="Arial"/>
          <w:bCs/>
        </w:rPr>
        <w:t xml:space="preserve"> pouze</w:t>
      </w:r>
      <w:r w:rsidR="00BF5A1D">
        <w:rPr>
          <w:rFonts w:ascii="Arial" w:hAnsi="Arial" w:cs="Arial"/>
          <w:bCs/>
        </w:rPr>
        <w:t xml:space="preserve"> fosilní paliva</w:t>
      </w:r>
      <w:r w:rsidR="003D6CFD">
        <w:rPr>
          <w:rFonts w:ascii="Arial" w:hAnsi="Arial" w:cs="Arial"/>
          <w:bCs/>
        </w:rPr>
        <w:t>. Tato vyhláška se</w:t>
      </w:r>
      <w:r w:rsidR="00223671">
        <w:rPr>
          <w:rFonts w:ascii="Arial" w:hAnsi="Arial" w:cs="Arial"/>
          <w:bCs/>
        </w:rPr>
        <w:t xml:space="preserve"> vztahuje </w:t>
      </w:r>
      <w:r w:rsidR="00D45D40">
        <w:rPr>
          <w:rFonts w:ascii="Arial" w:hAnsi="Arial" w:cs="Arial"/>
          <w:bCs/>
        </w:rPr>
        <w:t xml:space="preserve">v </w:t>
      </w:r>
      <w:r w:rsidR="00223671">
        <w:rPr>
          <w:rFonts w:ascii="Arial" w:hAnsi="Arial" w:cs="Arial"/>
          <w:bCs/>
        </w:rPr>
        <w:t>souladu s § 7 odst. 4 písm. c) zákona</w:t>
      </w:r>
      <w:r w:rsidR="003D6CFD">
        <w:rPr>
          <w:rFonts w:ascii="Arial" w:hAnsi="Arial" w:cs="Arial"/>
          <w:bCs/>
        </w:rPr>
        <w:t xml:space="preserve"> </w:t>
      </w:r>
      <w:r w:rsidR="00223671">
        <w:rPr>
          <w:rFonts w:ascii="Arial" w:hAnsi="Arial" w:cs="Arial"/>
          <w:bCs/>
        </w:rPr>
        <w:t>na s</w:t>
      </w:r>
      <w:r w:rsidR="00223671" w:rsidRPr="00223671">
        <w:rPr>
          <w:rFonts w:ascii="Arial" w:hAnsi="Arial" w:cs="Arial"/>
          <w:bCs/>
        </w:rPr>
        <w:t>tavebník</w:t>
      </w:r>
      <w:r w:rsidR="00223671">
        <w:rPr>
          <w:rFonts w:ascii="Arial" w:hAnsi="Arial" w:cs="Arial"/>
          <w:bCs/>
        </w:rPr>
        <w:t>a</w:t>
      </w:r>
      <w:r w:rsidR="00223671" w:rsidRPr="00223671">
        <w:rPr>
          <w:rFonts w:ascii="Arial" w:hAnsi="Arial" w:cs="Arial"/>
          <w:bCs/>
        </w:rPr>
        <w:t>, vlastník</w:t>
      </w:r>
      <w:r w:rsidR="00223671">
        <w:rPr>
          <w:rFonts w:ascii="Arial" w:hAnsi="Arial" w:cs="Arial"/>
          <w:bCs/>
        </w:rPr>
        <w:t>a</w:t>
      </w:r>
      <w:r w:rsidR="00223671" w:rsidRPr="00223671">
        <w:rPr>
          <w:rFonts w:ascii="Arial" w:hAnsi="Arial" w:cs="Arial"/>
          <w:bCs/>
        </w:rPr>
        <w:t xml:space="preserve"> budovy nebo společenství vlastníků jednotek nebo v případě, že společenství vlastníků jednotek nevzniklo, správce</w:t>
      </w:r>
      <w:r w:rsidR="00223671">
        <w:rPr>
          <w:rFonts w:ascii="Arial" w:hAnsi="Arial" w:cs="Arial"/>
          <w:bCs/>
        </w:rPr>
        <w:t>. Vyhláška se</w:t>
      </w:r>
      <w:r w:rsidR="00223671" w:rsidRPr="00223671">
        <w:rPr>
          <w:rFonts w:ascii="Arial" w:hAnsi="Arial" w:cs="Arial"/>
          <w:bCs/>
        </w:rPr>
        <w:t xml:space="preserve"> </w:t>
      </w:r>
      <w:r w:rsidR="003D6CFD">
        <w:rPr>
          <w:rFonts w:ascii="Arial" w:hAnsi="Arial" w:cs="Arial"/>
          <w:bCs/>
        </w:rPr>
        <w:t xml:space="preserve">nevztahuje na </w:t>
      </w:r>
      <w:r w:rsidR="00223671">
        <w:rPr>
          <w:rFonts w:ascii="Arial" w:hAnsi="Arial" w:cs="Arial"/>
          <w:bCs/>
        </w:rPr>
        <w:t xml:space="preserve">vlastníky </w:t>
      </w:r>
      <w:r w:rsidR="003D6CFD">
        <w:rPr>
          <w:rFonts w:ascii="Arial" w:hAnsi="Arial" w:cs="Arial"/>
          <w:bCs/>
        </w:rPr>
        <w:t>rodinn</w:t>
      </w:r>
      <w:r w:rsidR="00223671">
        <w:rPr>
          <w:rFonts w:ascii="Arial" w:hAnsi="Arial" w:cs="Arial"/>
          <w:bCs/>
        </w:rPr>
        <w:t>ých</w:t>
      </w:r>
      <w:r w:rsidR="003D6CFD">
        <w:rPr>
          <w:rFonts w:ascii="Arial" w:hAnsi="Arial" w:cs="Arial"/>
          <w:bCs/>
        </w:rPr>
        <w:t xml:space="preserve"> dom</w:t>
      </w:r>
      <w:r w:rsidR="00223671">
        <w:rPr>
          <w:rFonts w:ascii="Arial" w:hAnsi="Arial" w:cs="Arial"/>
          <w:bCs/>
        </w:rPr>
        <w:t>ů</w:t>
      </w:r>
      <w:r w:rsidR="003D6CFD">
        <w:rPr>
          <w:rFonts w:ascii="Arial" w:hAnsi="Arial" w:cs="Arial"/>
          <w:bCs/>
        </w:rPr>
        <w:t xml:space="preserve"> </w:t>
      </w:r>
      <w:r w:rsidR="00E416EA">
        <w:rPr>
          <w:rFonts w:ascii="Arial" w:hAnsi="Arial" w:cs="Arial"/>
          <w:bCs/>
        </w:rPr>
        <w:t xml:space="preserve">a </w:t>
      </w:r>
      <w:r w:rsidR="00E416EA" w:rsidRPr="00E416EA">
        <w:rPr>
          <w:rFonts w:ascii="Arial" w:hAnsi="Arial" w:cs="Arial"/>
          <w:bCs/>
        </w:rPr>
        <w:t>stav</w:t>
      </w:r>
      <w:r w:rsidR="00E416EA">
        <w:rPr>
          <w:rFonts w:ascii="Arial" w:hAnsi="Arial" w:cs="Arial"/>
          <w:bCs/>
        </w:rPr>
        <w:t>e</w:t>
      </w:r>
      <w:r w:rsidR="00E416EA" w:rsidRPr="00E416EA">
        <w:rPr>
          <w:rFonts w:ascii="Arial" w:hAnsi="Arial" w:cs="Arial"/>
          <w:bCs/>
        </w:rPr>
        <w:t xml:space="preserve">b pro rodinnou rekreaci </w:t>
      </w:r>
      <w:r w:rsidR="003D6CFD">
        <w:rPr>
          <w:rFonts w:ascii="Arial" w:hAnsi="Arial" w:cs="Arial"/>
          <w:bCs/>
        </w:rPr>
        <w:t>nezávisle na zdroje tepelné energie a teplé vody v</w:t>
      </w:r>
      <w:r w:rsidR="00E416EA">
        <w:rPr>
          <w:rFonts w:ascii="Arial" w:hAnsi="Arial" w:cs="Arial"/>
          <w:bCs/>
        </w:rPr>
        <w:t> </w:t>
      </w:r>
      <w:r w:rsidR="003D6CFD">
        <w:rPr>
          <w:rFonts w:ascii="Arial" w:hAnsi="Arial" w:cs="Arial"/>
          <w:bCs/>
        </w:rPr>
        <w:t>budově</w:t>
      </w:r>
      <w:r w:rsidR="00E416EA">
        <w:rPr>
          <w:rFonts w:ascii="Arial" w:hAnsi="Arial" w:cs="Arial"/>
          <w:bCs/>
        </w:rPr>
        <w:t xml:space="preserve"> (§ 7 odst. 6 zákona)</w:t>
      </w:r>
      <w:r w:rsidR="003D6CFD">
        <w:rPr>
          <w:rFonts w:ascii="Arial" w:hAnsi="Arial" w:cs="Arial"/>
          <w:bCs/>
        </w:rPr>
        <w:t xml:space="preserve">. </w:t>
      </w:r>
    </w:p>
    <w:p w14:paraId="4918BE13" w14:textId="470FEFAB" w:rsidR="00614A07" w:rsidRDefault="00C55623" w:rsidP="003B660D">
      <w:pPr>
        <w:spacing w:after="240"/>
        <w:jc w:val="both"/>
        <w:rPr>
          <w:rFonts w:ascii="Arial" w:hAnsi="Arial" w:cs="Arial"/>
          <w:bCs/>
        </w:rPr>
      </w:pPr>
      <w:r>
        <w:rPr>
          <w:rFonts w:ascii="Arial" w:hAnsi="Arial" w:cs="Arial"/>
          <w:bCs/>
        </w:rPr>
        <w:t xml:space="preserve">Povinnosti </w:t>
      </w:r>
      <w:r w:rsidR="00D45D40">
        <w:rPr>
          <w:rFonts w:ascii="Arial" w:hAnsi="Arial" w:cs="Arial"/>
          <w:bCs/>
        </w:rPr>
        <w:t xml:space="preserve">stanovené návrhem při </w:t>
      </w:r>
      <w:r>
        <w:rPr>
          <w:rFonts w:ascii="Arial" w:hAnsi="Arial" w:cs="Arial"/>
          <w:bCs/>
        </w:rPr>
        <w:t xml:space="preserve">předcházení stavu nouze </w:t>
      </w:r>
      <w:r w:rsidR="00D45D40">
        <w:rPr>
          <w:rFonts w:ascii="Arial" w:hAnsi="Arial" w:cs="Arial"/>
          <w:bCs/>
        </w:rPr>
        <w:t xml:space="preserve">nebo ve stavu nouze </w:t>
      </w:r>
      <w:r>
        <w:rPr>
          <w:rFonts w:ascii="Arial" w:hAnsi="Arial" w:cs="Arial"/>
          <w:bCs/>
        </w:rPr>
        <w:t>se nevztahuj</w:t>
      </w:r>
      <w:r w:rsidR="00D45D40">
        <w:rPr>
          <w:rFonts w:ascii="Arial" w:hAnsi="Arial" w:cs="Arial"/>
          <w:bCs/>
        </w:rPr>
        <w:t>í</w:t>
      </w:r>
      <w:r>
        <w:rPr>
          <w:rFonts w:ascii="Arial" w:hAnsi="Arial" w:cs="Arial"/>
          <w:bCs/>
        </w:rPr>
        <w:t xml:space="preserve"> na zásobování tepelnou energií </w:t>
      </w:r>
      <w:r w:rsidR="00D45D40">
        <w:rPr>
          <w:rFonts w:ascii="Arial" w:hAnsi="Arial" w:cs="Arial"/>
          <w:bCs/>
        </w:rPr>
        <w:t xml:space="preserve">z účinných </w:t>
      </w:r>
      <w:r>
        <w:rPr>
          <w:rFonts w:ascii="Arial" w:hAnsi="Arial" w:cs="Arial"/>
          <w:bCs/>
        </w:rPr>
        <w:t>soustav, kde je tepelná energie připravována z obnovitelných zdrojů energie s podílem vyšším než 80 %, a to z</w:t>
      </w:r>
      <w:r w:rsidR="003377F5">
        <w:rPr>
          <w:rFonts w:ascii="Arial" w:hAnsi="Arial" w:cs="Arial"/>
          <w:bCs/>
        </w:rPr>
        <w:t> </w:t>
      </w:r>
      <w:r>
        <w:rPr>
          <w:rFonts w:ascii="Arial" w:hAnsi="Arial" w:cs="Arial"/>
          <w:bCs/>
        </w:rPr>
        <w:t>důvodu</w:t>
      </w:r>
      <w:r w:rsidR="003377F5">
        <w:rPr>
          <w:rFonts w:ascii="Arial" w:hAnsi="Arial" w:cs="Arial"/>
          <w:bCs/>
        </w:rPr>
        <w:t xml:space="preserve"> potřeby zohlednění pozitivního přínosu spojeného s využíváním</w:t>
      </w:r>
      <w:r>
        <w:rPr>
          <w:rFonts w:ascii="Arial" w:hAnsi="Arial" w:cs="Arial"/>
          <w:bCs/>
        </w:rPr>
        <w:t xml:space="preserve"> </w:t>
      </w:r>
      <w:r w:rsidR="003377F5">
        <w:rPr>
          <w:rFonts w:ascii="Arial" w:hAnsi="Arial" w:cs="Arial"/>
          <w:bCs/>
        </w:rPr>
        <w:t xml:space="preserve">těchto soustav </w:t>
      </w:r>
      <w:r>
        <w:rPr>
          <w:rFonts w:ascii="Arial" w:hAnsi="Arial" w:cs="Arial"/>
          <w:bCs/>
        </w:rPr>
        <w:t xml:space="preserve">a </w:t>
      </w:r>
      <w:r w:rsidR="003377F5">
        <w:rPr>
          <w:rFonts w:ascii="Arial" w:hAnsi="Arial" w:cs="Arial"/>
          <w:bCs/>
        </w:rPr>
        <w:t xml:space="preserve">v případě obnovitelných zdrojů i </w:t>
      </w:r>
      <w:r>
        <w:rPr>
          <w:rFonts w:ascii="Arial" w:hAnsi="Arial" w:cs="Arial"/>
          <w:bCs/>
        </w:rPr>
        <w:t xml:space="preserve">nezávislosti na dodávce paliva ze zahraničí. </w:t>
      </w:r>
      <w:r w:rsidR="00FE4ABC">
        <w:rPr>
          <w:rFonts w:ascii="Arial" w:hAnsi="Arial" w:cs="Arial"/>
          <w:bCs/>
        </w:rPr>
        <w:t xml:space="preserve">Uvedené procento </w:t>
      </w:r>
      <w:r w:rsidR="00D45D40">
        <w:rPr>
          <w:rFonts w:ascii="Arial" w:hAnsi="Arial" w:cs="Arial"/>
          <w:bCs/>
        </w:rPr>
        <w:t xml:space="preserve">obnovitelných zdrojů energie </w:t>
      </w:r>
      <w:r w:rsidR="00FE4ABC">
        <w:rPr>
          <w:rFonts w:ascii="Arial" w:hAnsi="Arial" w:cs="Arial"/>
          <w:bCs/>
        </w:rPr>
        <w:t>vychází z historických hodnot dané soustavy za předcházející rok. Tyto účinné soustavy jsou pravidelně zveřejňovány na stránkách Energetického regulačního úřadu</w:t>
      </w:r>
      <w:r w:rsidR="00BF66A8">
        <w:rPr>
          <w:rFonts w:ascii="Arial" w:hAnsi="Arial" w:cs="Arial"/>
          <w:bCs/>
        </w:rPr>
        <w:t xml:space="preserve"> (</w:t>
      </w:r>
      <w:hyperlink r:id="rId10" w:history="1">
        <w:r w:rsidR="00BF66A8" w:rsidRPr="00C54D46">
          <w:rPr>
            <w:rStyle w:val="Hypertextovodkaz"/>
            <w:rFonts w:ascii="Arial" w:hAnsi="Arial" w:cs="Arial"/>
            <w:bCs/>
          </w:rPr>
          <w:t>https://www.eru.cz/prehled-ucinnych-soustav-zasobovani-tepelnou-energii-2021</w:t>
        </w:r>
      </w:hyperlink>
      <w:r w:rsidR="00BF66A8">
        <w:rPr>
          <w:rFonts w:ascii="Arial" w:hAnsi="Arial" w:cs="Arial"/>
          <w:bCs/>
        </w:rPr>
        <w:t>)</w:t>
      </w:r>
      <w:r w:rsidR="00FE4ABC">
        <w:rPr>
          <w:rFonts w:ascii="Arial" w:hAnsi="Arial" w:cs="Arial"/>
          <w:bCs/>
        </w:rPr>
        <w:t xml:space="preserve">. </w:t>
      </w:r>
    </w:p>
    <w:p w14:paraId="47233542" w14:textId="77777777" w:rsidR="003B660D" w:rsidRPr="003B660D" w:rsidRDefault="003B660D" w:rsidP="00E86B52">
      <w:pPr>
        <w:spacing w:after="240"/>
        <w:jc w:val="both"/>
        <w:rPr>
          <w:rFonts w:ascii="Arial" w:hAnsi="Arial" w:cs="Arial"/>
          <w:bCs/>
        </w:rPr>
      </w:pPr>
    </w:p>
    <w:p w14:paraId="5A524D0E" w14:textId="114097E2" w:rsidR="00075778" w:rsidRDefault="00075778" w:rsidP="00E86B52">
      <w:pPr>
        <w:spacing w:after="240"/>
        <w:jc w:val="both"/>
        <w:rPr>
          <w:rFonts w:ascii="Arial" w:hAnsi="Arial" w:cs="Arial"/>
          <w:b/>
          <w:bCs/>
        </w:rPr>
      </w:pPr>
      <w:r>
        <w:rPr>
          <w:rFonts w:ascii="Arial" w:hAnsi="Arial" w:cs="Arial"/>
          <w:b/>
          <w:bCs/>
        </w:rPr>
        <w:t>K § 2</w:t>
      </w:r>
      <w:r w:rsidR="0002469A">
        <w:rPr>
          <w:rFonts w:ascii="Arial" w:hAnsi="Arial" w:cs="Arial"/>
          <w:b/>
          <w:bCs/>
        </w:rPr>
        <w:t xml:space="preserve"> </w:t>
      </w:r>
      <w:r w:rsidR="0002469A" w:rsidRPr="0002469A">
        <w:rPr>
          <w:rFonts w:ascii="Arial" w:hAnsi="Arial" w:cs="Arial"/>
          <w:b/>
          <w:bCs/>
        </w:rPr>
        <w:t>Otopné období</w:t>
      </w:r>
    </w:p>
    <w:p w14:paraId="4118242E" w14:textId="4FC3E124" w:rsidR="003B660D" w:rsidRDefault="003B660D" w:rsidP="00E86B52">
      <w:pPr>
        <w:spacing w:after="240"/>
        <w:jc w:val="both"/>
        <w:rPr>
          <w:rFonts w:ascii="Arial" w:hAnsi="Arial" w:cs="Arial"/>
          <w:bCs/>
        </w:rPr>
      </w:pPr>
      <w:r w:rsidRPr="003B660D">
        <w:rPr>
          <w:rFonts w:ascii="Arial" w:hAnsi="Arial" w:cs="Arial"/>
          <w:bCs/>
        </w:rPr>
        <w:t>Je definováno otopné období</w:t>
      </w:r>
      <w:r>
        <w:rPr>
          <w:rFonts w:ascii="Arial" w:hAnsi="Arial" w:cs="Arial"/>
          <w:bCs/>
        </w:rPr>
        <w:t>, v jehož intervalu</w:t>
      </w:r>
      <w:r w:rsidRPr="003B660D">
        <w:rPr>
          <w:rFonts w:ascii="Arial" w:hAnsi="Arial" w:cs="Arial"/>
          <w:bCs/>
        </w:rPr>
        <w:t xml:space="preserve"> </w:t>
      </w:r>
      <w:r>
        <w:rPr>
          <w:rFonts w:ascii="Arial" w:hAnsi="Arial" w:cs="Arial"/>
          <w:bCs/>
        </w:rPr>
        <w:t>dochází k</w:t>
      </w:r>
      <w:r w:rsidR="00D45D40">
        <w:rPr>
          <w:rFonts w:ascii="Arial" w:hAnsi="Arial" w:cs="Arial"/>
          <w:bCs/>
        </w:rPr>
        <w:t xml:space="preserve"> dodávce tepelné energie do </w:t>
      </w:r>
      <w:r>
        <w:rPr>
          <w:rFonts w:ascii="Arial" w:hAnsi="Arial" w:cs="Arial"/>
          <w:bCs/>
        </w:rPr>
        <w:t xml:space="preserve">budovy, </w:t>
      </w:r>
      <w:r w:rsidR="007A264D">
        <w:rPr>
          <w:rFonts w:ascii="Arial" w:hAnsi="Arial" w:cs="Arial"/>
          <w:bCs/>
        </w:rPr>
        <w:t>pokud jsou splněny podmínky stanovené návrhem vyhlášky</w:t>
      </w:r>
      <w:r>
        <w:rPr>
          <w:rFonts w:ascii="Arial" w:hAnsi="Arial" w:cs="Arial"/>
          <w:bCs/>
        </w:rPr>
        <w:t xml:space="preserve">. Délka otopného období je stejná, jako v platné legislativě. </w:t>
      </w:r>
    </w:p>
    <w:p w14:paraId="7916D5E9" w14:textId="77777777" w:rsidR="00B0383F" w:rsidRDefault="00B0383F" w:rsidP="00E86B52">
      <w:pPr>
        <w:spacing w:after="240"/>
        <w:jc w:val="both"/>
        <w:rPr>
          <w:rFonts w:ascii="Arial" w:hAnsi="Arial" w:cs="Arial"/>
          <w:b/>
          <w:bCs/>
        </w:rPr>
      </w:pPr>
    </w:p>
    <w:p w14:paraId="5DBCA340" w14:textId="5D4EE43B" w:rsidR="003B660D" w:rsidRPr="003B660D" w:rsidRDefault="007A264D" w:rsidP="00E86B52">
      <w:pPr>
        <w:spacing w:after="240"/>
        <w:jc w:val="both"/>
        <w:rPr>
          <w:rFonts w:ascii="Arial" w:hAnsi="Arial" w:cs="Arial"/>
          <w:bCs/>
        </w:rPr>
      </w:pPr>
      <w:r>
        <w:rPr>
          <w:rFonts w:ascii="Arial" w:hAnsi="Arial" w:cs="Arial"/>
          <w:b/>
          <w:bCs/>
        </w:rPr>
        <w:t xml:space="preserve">K § 3 </w:t>
      </w:r>
      <w:r w:rsidR="00B0383F" w:rsidRPr="0002469A">
        <w:rPr>
          <w:rFonts w:ascii="Arial" w:hAnsi="Arial" w:cs="Arial"/>
          <w:b/>
          <w:bCs/>
        </w:rPr>
        <w:t>Pravidla pro vytápění při předcházení stavu nouze</w:t>
      </w:r>
    </w:p>
    <w:p w14:paraId="75E7BFEF" w14:textId="5B7E688B" w:rsidR="0002469A" w:rsidRPr="00AC5A59" w:rsidRDefault="0002469A" w:rsidP="00E86B52">
      <w:pPr>
        <w:spacing w:after="240"/>
        <w:jc w:val="both"/>
        <w:rPr>
          <w:rFonts w:ascii="Arial" w:hAnsi="Arial" w:cs="Arial"/>
          <w:bCs/>
          <w:u w:val="single"/>
        </w:rPr>
      </w:pPr>
      <w:r w:rsidRPr="00AC5A59">
        <w:rPr>
          <w:rFonts w:ascii="Arial" w:hAnsi="Arial" w:cs="Arial"/>
          <w:bCs/>
          <w:u w:val="single"/>
        </w:rPr>
        <w:t>Odst. 1</w:t>
      </w:r>
    </w:p>
    <w:p w14:paraId="1B7D8BEB" w14:textId="6407D532" w:rsidR="0002469A" w:rsidRDefault="007A264D" w:rsidP="00E86B52">
      <w:pPr>
        <w:spacing w:after="240"/>
        <w:jc w:val="both"/>
        <w:rPr>
          <w:rFonts w:ascii="Arial" w:hAnsi="Arial" w:cs="Arial"/>
          <w:bCs/>
        </w:rPr>
      </w:pPr>
      <w:r>
        <w:rPr>
          <w:rFonts w:ascii="Arial" w:hAnsi="Arial" w:cs="Arial"/>
          <w:bCs/>
        </w:rPr>
        <w:t xml:space="preserve">Dodávka tepelné energie se zahajuje v případě poklesu průměrné teploty venkovního vzduchu </w:t>
      </w:r>
      <w:r w:rsidRPr="007A264D">
        <w:rPr>
          <w:rFonts w:ascii="Arial" w:hAnsi="Arial" w:cs="Arial"/>
          <w:bCs/>
        </w:rPr>
        <w:t>pod +13 °C</w:t>
      </w:r>
      <w:r>
        <w:rPr>
          <w:rFonts w:ascii="Arial" w:hAnsi="Arial" w:cs="Arial"/>
          <w:bCs/>
        </w:rPr>
        <w:t xml:space="preserve"> ve 2 po sobě následujících dnech. Tato podmínka se nemění oproti současné platné legislativě. </w:t>
      </w:r>
      <w:r w:rsidR="00B0383F">
        <w:rPr>
          <w:rFonts w:ascii="Arial" w:hAnsi="Arial" w:cs="Arial"/>
          <w:bCs/>
        </w:rPr>
        <w:t xml:space="preserve">Podle současné platné legislativy je v případě souhlasu 2/3 uživatelů možno zahájit vytápění budovy mimo otopné období. Aby došlo k úspoře tepelné energie (plynu) je nově stanoveno, že vytápění nelze zahájit mimo otopné období. </w:t>
      </w:r>
    </w:p>
    <w:p w14:paraId="774B89F3" w14:textId="77777777" w:rsidR="00310F63" w:rsidRDefault="00310F63" w:rsidP="00E86B52">
      <w:pPr>
        <w:spacing w:after="240"/>
        <w:jc w:val="both"/>
        <w:rPr>
          <w:rFonts w:ascii="Arial" w:hAnsi="Arial" w:cs="Arial"/>
          <w:bCs/>
          <w:u w:val="single"/>
        </w:rPr>
      </w:pPr>
    </w:p>
    <w:p w14:paraId="0BFF37A3" w14:textId="6C1EDE85" w:rsidR="00241553" w:rsidRPr="00AC5A59" w:rsidRDefault="00594880" w:rsidP="00E86B52">
      <w:pPr>
        <w:spacing w:after="240"/>
        <w:jc w:val="both"/>
        <w:rPr>
          <w:rFonts w:ascii="Arial" w:hAnsi="Arial" w:cs="Arial"/>
          <w:bCs/>
          <w:u w:val="single"/>
        </w:rPr>
      </w:pPr>
      <w:r w:rsidRPr="00AC5A59">
        <w:rPr>
          <w:rFonts w:ascii="Arial" w:hAnsi="Arial" w:cs="Arial"/>
          <w:bCs/>
          <w:u w:val="single"/>
        </w:rPr>
        <w:lastRenderedPageBreak/>
        <w:t>O</w:t>
      </w:r>
      <w:r w:rsidR="00241553" w:rsidRPr="00AC5A59">
        <w:rPr>
          <w:rFonts w:ascii="Arial" w:hAnsi="Arial" w:cs="Arial"/>
          <w:bCs/>
          <w:u w:val="single"/>
        </w:rPr>
        <w:t>dst. 2</w:t>
      </w:r>
    </w:p>
    <w:p w14:paraId="5AF8BAD2" w14:textId="295D7BE5" w:rsidR="00241553" w:rsidRDefault="00241553" w:rsidP="00E86B52">
      <w:pPr>
        <w:spacing w:after="240"/>
        <w:jc w:val="both"/>
        <w:rPr>
          <w:rFonts w:ascii="Arial" w:hAnsi="Arial" w:cs="Arial"/>
          <w:bCs/>
        </w:rPr>
      </w:pPr>
      <w:r>
        <w:rPr>
          <w:rFonts w:ascii="Arial" w:hAnsi="Arial" w:cs="Arial"/>
          <w:bCs/>
        </w:rPr>
        <w:t>Definuje se výpočet průměrné denní teploty</w:t>
      </w:r>
      <w:r w:rsidR="007A264D">
        <w:rPr>
          <w:rFonts w:ascii="Arial" w:hAnsi="Arial" w:cs="Arial"/>
          <w:bCs/>
        </w:rPr>
        <w:t xml:space="preserve"> venkovního vzduchu</w:t>
      </w:r>
      <w:r>
        <w:rPr>
          <w:rFonts w:ascii="Arial" w:hAnsi="Arial" w:cs="Arial"/>
          <w:bCs/>
        </w:rPr>
        <w:t xml:space="preserve">, aby bylo jednoznačné, odkdy začíná otopná sezona. </w:t>
      </w:r>
    </w:p>
    <w:p w14:paraId="394992A7" w14:textId="2CFC2F75" w:rsidR="00594880" w:rsidRPr="00AC5A59" w:rsidRDefault="00594880" w:rsidP="00E86B52">
      <w:pPr>
        <w:spacing w:after="240"/>
        <w:jc w:val="both"/>
        <w:rPr>
          <w:rFonts w:ascii="Arial" w:hAnsi="Arial" w:cs="Arial"/>
          <w:bCs/>
          <w:u w:val="single"/>
        </w:rPr>
      </w:pPr>
      <w:r w:rsidRPr="00AC5A59">
        <w:rPr>
          <w:rFonts w:ascii="Arial" w:hAnsi="Arial" w:cs="Arial"/>
          <w:bCs/>
          <w:u w:val="single"/>
        </w:rPr>
        <w:t>Odst. 3</w:t>
      </w:r>
    </w:p>
    <w:p w14:paraId="1C4F65AC" w14:textId="7F71F251" w:rsidR="00AC5A59" w:rsidRDefault="00AC5A59" w:rsidP="00E86B52">
      <w:pPr>
        <w:spacing w:after="240"/>
        <w:jc w:val="both"/>
        <w:rPr>
          <w:rFonts w:ascii="Arial" w:hAnsi="Arial" w:cs="Arial"/>
          <w:bCs/>
        </w:rPr>
      </w:pPr>
      <w:r>
        <w:rPr>
          <w:rFonts w:ascii="Arial" w:hAnsi="Arial" w:cs="Arial"/>
          <w:bCs/>
        </w:rPr>
        <w:t xml:space="preserve">Ustanovení upravuje přerušení dodávky tepelné energie v případě, kdy dojde ke zvýšení průměrné denní teploty venkovního vzduchu v otopném období nad 13 </w:t>
      </w:r>
      <w:r w:rsidRPr="00AC5A59">
        <w:rPr>
          <w:rFonts w:ascii="Arial" w:hAnsi="Arial" w:cs="Arial"/>
          <w:bCs/>
        </w:rPr>
        <w:t>°C, a tedy není nutné dodávat tepelnou energii.</w:t>
      </w:r>
      <w:r w:rsidR="008E5E38">
        <w:rPr>
          <w:rFonts w:ascii="Arial" w:hAnsi="Arial" w:cs="Arial"/>
          <w:bCs/>
        </w:rPr>
        <w:t xml:space="preserve"> Úprava se neodchyluje od platné legislativy. </w:t>
      </w:r>
    </w:p>
    <w:p w14:paraId="11B33742" w14:textId="77777777" w:rsidR="00594880" w:rsidRPr="0002469A" w:rsidRDefault="00594880" w:rsidP="00E86B52">
      <w:pPr>
        <w:spacing w:after="240"/>
        <w:jc w:val="both"/>
        <w:rPr>
          <w:rFonts w:ascii="Arial" w:hAnsi="Arial" w:cs="Arial"/>
          <w:bCs/>
        </w:rPr>
      </w:pPr>
    </w:p>
    <w:p w14:paraId="72360EBA" w14:textId="28326DD3" w:rsidR="00075778" w:rsidRDefault="00075778" w:rsidP="00E86B52">
      <w:pPr>
        <w:spacing w:after="240"/>
        <w:jc w:val="both"/>
        <w:rPr>
          <w:rFonts w:ascii="Arial" w:hAnsi="Arial" w:cs="Arial"/>
          <w:b/>
          <w:bCs/>
        </w:rPr>
      </w:pPr>
      <w:r>
        <w:rPr>
          <w:rFonts w:ascii="Arial" w:hAnsi="Arial" w:cs="Arial"/>
          <w:b/>
          <w:bCs/>
        </w:rPr>
        <w:t>K § 4</w:t>
      </w:r>
    </w:p>
    <w:p w14:paraId="322B2481" w14:textId="534189B7" w:rsidR="00C031D5" w:rsidRPr="008E5E38" w:rsidRDefault="00C031D5" w:rsidP="00E86B52">
      <w:pPr>
        <w:spacing w:after="240"/>
        <w:jc w:val="both"/>
        <w:rPr>
          <w:rFonts w:ascii="Arial" w:hAnsi="Arial" w:cs="Arial"/>
          <w:bCs/>
          <w:u w:val="single"/>
        </w:rPr>
      </w:pPr>
      <w:r w:rsidRPr="008E5E38">
        <w:rPr>
          <w:rFonts w:ascii="Arial" w:hAnsi="Arial" w:cs="Arial"/>
          <w:bCs/>
          <w:u w:val="single"/>
        </w:rPr>
        <w:t>Odst. 1</w:t>
      </w:r>
    </w:p>
    <w:p w14:paraId="31AC01E8" w14:textId="496A49AA" w:rsidR="00D030FA" w:rsidRDefault="00C031D5" w:rsidP="00E86B52">
      <w:pPr>
        <w:spacing w:after="240"/>
        <w:jc w:val="both"/>
        <w:rPr>
          <w:rFonts w:ascii="Arial" w:hAnsi="Arial" w:cs="Arial"/>
          <w:bCs/>
        </w:rPr>
      </w:pPr>
      <w:r>
        <w:rPr>
          <w:rFonts w:ascii="Arial" w:hAnsi="Arial" w:cs="Arial"/>
          <w:bCs/>
        </w:rPr>
        <w:t>Ustanovení zavádí povinnost dodržovat průměrnou teplotu vnitřního vzduchu v</w:t>
      </w:r>
      <w:r w:rsidR="007A264D">
        <w:rPr>
          <w:rFonts w:ascii="Arial" w:hAnsi="Arial" w:cs="Arial"/>
          <w:bCs/>
        </w:rPr>
        <w:t xml:space="preserve"> obývacích </w:t>
      </w:r>
      <w:r>
        <w:rPr>
          <w:rFonts w:ascii="Arial" w:hAnsi="Arial" w:cs="Arial"/>
          <w:bCs/>
        </w:rPr>
        <w:t>místnostech a jiných prostor</w:t>
      </w:r>
      <w:r w:rsidR="007A264D">
        <w:rPr>
          <w:rFonts w:ascii="Arial" w:hAnsi="Arial" w:cs="Arial"/>
          <w:bCs/>
        </w:rPr>
        <w:t>ech v době jejich provozu</w:t>
      </w:r>
      <w:r>
        <w:rPr>
          <w:rFonts w:ascii="Arial" w:hAnsi="Arial" w:cs="Arial"/>
          <w:bCs/>
        </w:rPr>
        <w:t xml:space="preserve"> na hodnotách stanovených přílohou. </w:t>
      </w:r>
      <w:r w:rsidR="007A264D">
        <w:rPr>
          <w:rFonts w:ascii="Arial" w:hAnsi="Arial" w:cs="Arial"/>
          <w:bCs/>
        </w:rPr>
        <w:t xml:space="preserve">Povinnost se vztahuje na dobu </w:t>
      </w:r>
      <w:r>
        <w:rPr>
          <w:rFonts w:ascii="Arial" w:hAnsi="Arial" w:cs="Arial"/>
          <w:bCs/>
        </w:rPr>
        <w:t xml:space="preserve">od 6:00 do 22:00, tedy v intervalu, kdy je budova nejvíce využívána. Smyslem ustanovení je, aby nedocházelo k přetápění prostor, jak se tomu v mnoha případech děje, a tedy se předcházelo stavu nouze. </w:t>
      </w:r>
      <w:r w:rsidR="0004243F">
        <w:rPr>
          <w:rFonts w:ascii="Arial" w:hAnsi="Arial" w:cs="Arial"/>
          <w:bCs/>
        </w:rPr>
        <w:t>Průměrné teploty vnitřního vzduchu jsou stanoveny na nižších hodnotách, než je tomu v platné legislativě</w:t>
      </w:r>
      <w:r w:rsidR="006D49DD">
        <w:rPr>
          <w:rFonts w:ascii="Arial" w:hAnsi="Arial" w:cs="Arial"/>
          <w:bCs/>
        </w:rPr>
        <w:t>. Rozdíl v dosahované teplotě se navrženou úpravou sníží o 3–6 °C</w:t>
      </w:r>
      <w:r w:rsidR="0004243F">
        <w:rPr>
          <w:rFonts w:ascii="Arial" w:hAnsi="Arial" w:cs="Arial"/>
          <w:bCs/>
        </w:rPr>
        <w:t>.</w:t>
      </w:r>
      <w:r w:rsidR="008E5E38">
        <w:rPr>
          <w:rFonts w:ascii="Arial" w:hAnsi="Arial" w:cs="Arial"/>
          <w:bCs/>
        </w:rPr>
        <w:t xml:space="preserve"> Stanovené teploty jsou v souladu s hygienickými požadavky stanoven</w:t>
      </w:r>
      <w:r w:rsidR="00BA6EE0">
        <w:rPr>
          <w:rFonts w:ascii="Arial" w:hAnsi="Arial" w:cs="Arial"/>
          <w:bCs/>
        </w:rPr>
        <w:t>ými</w:t>
      </w:r>
      <w:r w:rsidR="008E5E38">
        <w:rPr>
          <w:rFonts w:ascii="Arial" w:hAnsi="Arial" w:cs="Arial"/>
          <w:bCs/>
        </w:rPr>
        <w:t xml:space="preserve"> dle jiných právních předpisů.</w:t>
      </w:r>
      <w:r w:rsidR="0004243F">
        <w:rPr>
          <w:rFonts w:ascii="Arial" w:hAnsi="Arial" w:cs="Arial"/>
          <w:bCs/>
        </w:rPr>
        <w:t xml:space="preserve"> </w:t>
      </w:r>
    </w:p>
    <w:p w14:paraId="40A4DCD4" w14:textId="49488A17" w:rsidR="00FF212A" w:rsidRPr="008E5E38" w:rsidRDefault="00FF212A" w:rsidP="00E86B52">
      <w:pPr>
        <w:spacing w:after="240"/>
        <w:jc w:val="both"/>
        <w:rPr>
          <w:rFonts w:ascii="Arial" w:hAnsi="Arial" w:cs="Arial"/>
          <w:bCs/>
          <w:u w:val="single"/>
        </w:rPr>
      </w:pPr>
      <w:r w:rsidRPr="008E5E38">
        <w:rPr>
          <w:rFonts w:ascii="Arial" w:hAnsi="Arial" w:cs="Arial"/>
          <w:bCs/>
          <w:u w:val="single"/>
        </w:rPr>
        <w:t>Odst. 2</w:t>
      </w:r>
    </w:p>
    <w:p w14:paraId="7EE677A2" w14:textId="641EFD52" w:rsidR="00FF212A" w:rsidRDefault="00FF212A" w:rsidP="00E86B52">
      <w:pPr>
        <w:spacing w:after="240"/>
        <w:jc w:val="both"/>
        <w:rPr>
          <w:rFonts w:ascii="Arial" w:hAnsi="Arial" w:cs="Arial"/>
          <w:bCs/>
        </w:rPr>
      </w:pPr>
      <w:r>
        <w:rPr>
          <w:rFonts w:ascii="Arial" w:hAnsi="Arial" w:cs="Arial"/>
          <w:bCs/>
        </w:rPr>
        <w:t>Definuje</w:t>
      </w:r>
      <w:r w:rsidR="003832B6">
        <w:rPr>
          <w:rFonts w:ascii="Arial" w:hAnsi="Arial" w:cs="Arial"/>
          <w:bCs/>
        </w:rPr>
        <w:t xml:space="preserve"> stanovení/postup měření průměrné vnitřní teploty.</w:t>
      </w:r>
    </w:p>
    <w:p w14:paraId="13E90F07" w14:textId="3B85F402" w:rsidR="00D64B44" w:rsidRPr="00D64B44" w:rsidRDefault="00D64B44" w:rsidP="00E86B52">
      <w:pPr>
        <w:spacing w:after="240"/>
        <w:jc w:val="both"/>
        <w:rPr>
          <w:rFonts w:ascii="Arial" w:hAnsi="Arial" w:cs="Arial"/>
          <w:bCs/>
          <w:u w:val="single"/>
        </w:rPr>
      </w:pPr>
      <w:r w:rsidRPr="00D64B44">
        <w:rPr>
          <w:rFonts w:ascii="Arial" w:hAnsi="Arial" w:cs="Arial"/>
          <w:bCs/>
          <w:u w:val="single"/>
        </w:rPr>
        <w:t>Odst. 3</w:t>
      </w:r>
    </w:p>
    <w:p w14:paraId="00BB7F53" w14:textId="34104FC5" w:rsidR="006D49DD" w:rsidRDefault="006D49DD" w:rsidP="00E86B52">
      <w:pPr>
        <w:spacing w:after="240"/>
        <w:jc w:val="both"/>
        <w:rPr>
          <w:rFonts w:ascii="Arial" w:hAnsi="Arial" w:cs="Arial"/>
          <w:bCs/>
        </w:rPr>
      </w:pPr>
      <w:r w:rsidRPr="003B5DDE">
        <w:rPr>
          <w:rFonts w:ascii="Arial" w:hAnsi="Arial" w:cs="Arial"/>
          <w:bCs/>
        </w:rPr>
        <w:t>Ustanovení umožnuje</w:t>
      </w:r>
      <w:r>
        <w:rPr>
          <w:rFonts w:ascii="Arial" w:hAnsi="Arial" w:cs="Arial"/>
          <w:bCs/>
        </w:rPr>
        <w:t xml:space="preserve"> navýšení teploty vnitřního vzduchu v případech, kdy je daný prostor ovlivněn podmínkami venkovního prostředí. Návrh tedy bere v úvahu jak byty ve středu bytového domu, které jsou vyhřívány okolními byty, tak i byty, které mají kvůli své pozici více ochlazovaných stěn a bude v nich nižší teplota při dodávce stejného množství tepelné energie. Způsob a hodnoty navýšení teplot vycházejí z platné legislativy.</w:t>
      </w:r>
    </w:p>
    <w:p w14:paraId="516A76E7" w14:textId="0531D758" w:rsidR="003832B6" w:rsidRPr="008E5E38" w:rsidRDefault="003832B6" w:rsidP="00E86B52">
      <w:pPr>
        <w:spacing w:after="240"/>
        <w:jc w:val="both"/>
        <w:rPr>
          <w:rFonts w:ascii="Arial" w:hAnsi="Arial" w:cs="Arial"/>
          <w:bCs/>
          <w:u w:val="single"/>
        </w:rPr>
      </w:pPr>
      <w:r w:rsidRPr="008E5E38">
        <w:rPr>
          <w:rFonts w:ascii="Arial" w:hAnsi="Arial" w:cs="Arial"/>
          <w:bCs/>
          <w:u w:val="single"/>
        </w:rPr>
        <w:t xml:space="preserve">Odst. </w:t>
      </w:r>
      <w:r w:rsidR="00D64B44">
        <w:rPr>
          <w:rFonts w:ascii="Arial" w:hAnsi="Arial" w:cs="Arial"/>
          <w:bCs/>
          <w:u w:val="single"/>
        </w:rPr>
        <w:t>4</w:t>
      </w:r>
    </w:p>
    <w:p w14:paraId="34567EE3" w14:textId="6CA778B4" w:rsidR="003832B6" w:rsidRPr="00D030FA" w:rsidRDefault="00C972A8" w:rsidP="00E86B52">
      <w:pPr>
        <w:spacing w:after="240"/>
        <w:jc w:val="both"/>
        <w:rPr>
          <w:rFonts w:ascii="Arial" w:hAnsi="Arial" w:cs="Arial"/>
          <w:bCs/>
        </w:rPr>
      </w:pPr>
      <w:r>
        <w:rPr>
          <w:rFonts w:ascii="Arial" w:hAnsi="Arial" w:cs="Arial"/>
          <w:bCs/>
        </w:rPr>
        <w:t>Ustanovení se nemění oproti současné legislativě. Jedná se o stanovení podmínek pro noční útlum, tedy snížení dodávky tepelné energie v intervalu od 22:00 – 6:00</w:t>
      </w:r>
      <w:r w:rsidR="007A264D">
        <w:rPr>
          <w:rFonts w:ascii="Arial" w:hAnsi="Arial" w:cs="Arial"/>
          <w:bCs/>
        </w:rPr>
        <w:t>.</w:t>
      </w:r>
    </w:p>
    <w:p w14:paraId="05231BDE" w14:textId="6353A7FB" w:rsidR="003B5DDE" w:rsidRPr="008E5E38" w:rsidRDefault="003B5DDE" w:rsidP="003B5DDE">
      <w:pPr>
        <w:spacing w:after="240"/>
        <w:jc w:val="both"/>
        <w:rPr>
          <w:rFonts w:ascii="Arial" w:hAnsi="Arial" w:cs="Arial"/>
          <w:bCs/>
          <w:u w:val="single"/>
        </w:rPr>
      </w:pPr>
      <w:r w:rsidRPr="008E5E38">
        <w:rPr>
          <w:rFonts w:ascii="Arial" w:hAnsi="Arial" w:cs="Arial"/>
          <w:bCs/>
          <w:u w:val="single"/>
        </w:rPr>
        <w:t xml:space="preserve">Odst. </w:t>
      </w:r>
      <w:r>
        <w:rPr>
          <w:rFonts w:ascii="Arial" w:hAnsi="Arial" w:cs="Arial"/>
          <w:bCs/>
          <w:u w:val="single"/>
        </w:rPr>
        <w:t>5</w:t>
      </w:r>
    </w:p>
    <w:p w14:paraId="48A4458C" w14:textId="0E08C4C9" w:rsidR="00D030FA" w:rsidRPr="003B5DDE" w:rsidRDefault="006D49DD" w:rsidP="00E86B52">
      <w:pPr>
        <w:spacing w:after="240"/>
        <w:jc w:val="both"/>
        <w:rPr>
          <w:rFonts w:ascii="Arial" w:hAnsi="Arial" w:cs="Arial"/>
          <w:bCs/>
        </w:rPr>
      </w:pPr>
      <w:r>
        <w:rPr>
          <w:rFonts w:ascii="Arial" w:hAnsi="Arial" w:cs="Arial"/>
          <w:bCs/>
        </w:rPr>
        <w:t xml:space="preserve">Ustanovení </w:t>
      </w:r>
      <w:r w:rsidR="00EA6DD4">
        <w:rPr>
          <w:rFonts w:ascii="Arial" w:hAnsi="Arial" w:cs="Arial"/>
          <w:bCs/>
        </w:rPr>
        <w:t xml:space="preserve">upravuje nepřekročitelné limity průměrných teplot, které mimo zohlednění </w:t>
      </w:r>
      <w:r w:rsidR="00981F07">
        <w:rPr>
          <w:rFonts w:ascii="Arial" w:hAnsi="Arial" w:cs="Arial"/>
          <w:bCs/>
        </w:rPr>
        <w:t xml:space="preserve">vlivu dispozice a umístění bytu, </w:t>
      </w:r>
      <w:r>
        <w:rPr>
          <w:rFonts w:ascii="Arial" w:hAnsi="Arial" w:cs="Arial"/>
          <w:bCs/>
        </w:rPr>
        <w:t xml:space="preserve">umožňuje navýšení teploty vnitřního vzduchu o jeden stupeň s ohledem na různorodost vybavení prvků regulujících dodávku tepelné energie (termostatické hlavice vs. termostat, na kterém lze přesně stanovit teplotu, která je automaticky udržována na rozdíl od termostatické hlavice, která je ovládaná </w:t>
      </w:r>
      <w:r>
        <w:rPr>
          <w:rFonts w:ascii="Arial" w:hAnsi="Arial" w:cs="Arial"/>
          <w:bCs/>
        </w:rPr>
        <w:lastRenderedPageBreak/>
        <w:t xml:space="preserve">lidským faktorem). Stejně tak jsou brány v úvahu tepelné zisky (orientace prostoru k světovým stranám), Ustanovení umožňuje příp. výjimky pro speciální provozy, které jsou definovány technologickými předpisy nebo odbornou expertízou.  </w:t>
      </w:r>
    </w:p>
    <w:p w14:paraId="53C95D8C" w14:textId="2FF92222" w:rsidR="003B5DDE" w:rsidRPr="00D74D81" w:rsidRDefault="00FB72F9" w:rsidP="00E86B52">
      <w:pPr>
        <w:spacing w:after="240"/>
        <w:jc w:val="both"/>
        <w:rPr>
          <w:rFonts w:ascii="Arial" w:hAnsi="Arial" w:cs="Arial"/>
          <w:bCs/>
          <w:u w:val="single"/>
        </w:rPr>
      </w:pPr>
      <w:r w:rsidRPr="00D74D81">
        <w:rPr>
          <w:rFonts w:ascii="Arial" w:hAnsi="Arial" w:cs="Arial"/>
          <w:bCs/>
          <w:u w:val="single"/>
        </w:rPr>
        <w:t>Odst. 6</w:t>
      </w:r>
    </w:p>
    <w:p w14:paraId="039F2C80" w14:textId="66F7EF96" w:rsidR="00FB72F9" w:rsidRPr="00D74D81" w:rsidRDefault="00D74D81" w:rsidP="00E86B52">
      <w:pPr>
        <w:spacing w:after="240"/>
        <w:jc w:val="both"/>
        <w:rPr>
          <w:rFonts w:ascii="Arial" w:hAnsi="Arial" w:cs="Arial"/>
          <w:bCs/>
        </w:rPr>
      </w:pPr>
      <w:r>
        <w:rPr>
          <w:rFonts w:ascii="Arial" w:hAnsi="Arial" w:cs="Arial"/>
          <w:bCs/>
        </w:rPr>
        <w:t xml:space="preserve">Ustanovení </w:t>
      </w:r>
      <w:r w:rsidR="00B41633">
        <w:rPr>
          <w:rFonts w:ascii="Arial" w:hAnsi="Arial" w:cs="Arial"/>
          <w:bCs/>
        </w:rPr>
        <w:t>určuje, že p</w:t>
      </w:r>
      <w:r w:rsidRPr="00D74D81">
        <w:rPr>
          <w:rFonts w:ascii="Arial" w:hAnsi="Arial" w:cs="Arial"/>
          <w:bCs/>
        </w:rPr>
        <w:t>lánované opravy, údržbové a revizní práce</w:t>
      </w:r>
      <w:r w:rsidR="00B41633">
        <w:rPr>
          <w:rFonts w:ascii="Arial" w:hAnsi="Arial" w:cs="Arial"/>
          <w:bCs/>
        </w:rPr>
        <w:t xml:space="preserve"> jsou prováděny mimo otopné období. Důvodem je, aby v otopném období nedocházelo k</w:t>
      </w:r>
      <w:r w:rsidRPr="00D74D81">
        <w:rPr>
          <w:rFonts w:ascii="Arial" w:hAnsi="Arial" w:cs="Arial"/>
          <w:bCs/>
        </w:rPr>
        <w:t xml:space="preserve"> omezení nebo přerušení </w:t>
      </w:r>
      <w:r w:rsidR="00B41633">
        <w:rPr>
          <w:rFonts w:ascii="Arial" w:hAnsi="Arial" w:cs="Arial"/>
          <w:bCs/>
        </w:rPr>
        <w:t xml:space="preserve">dodávek tepelné energie do </w:t>
      </w:r>
      <w:r w:rsidRPr="00D74D81">
        <w:rPr>
          <w:rFonts w:ascii="Arial" w:hAnsi="Arial" w:cs="Arial"/>
          <w:bCs/>
        </w:rPr>
        <w:t>budov,</w:t>
      </w:r>
      <w:r w:rsidR="00B41633">
        <w:rPr>
          <w:rFonts w:ascii="Arial" w:hAnsi="Arial" w:cs="Arial"/>
          <w:bCs/>
        </w:rPr>
        <w:t xml:space="preserve"> což by ohrozilo zajištění tepelné pohody a kvalitního vnitřního prostředí (např. vznik plísní).</w:t>
      </w:r>
    </w:p>
    <w:p w14:paraId="4BE73195" w14:textId="77777777" w:rsidR="000C68BE" w:rsidRDefault="000C68BE" w:rsidP="00E86B52">
      <w:pPr>
        <w:spacing w:after="240"/>
        <w:jc w:val="both"/>
        <w:rPr>
          <w:rFonts w:ascii="Arial" w:hAnsi="Arial" w:cs="Arial"/>
          <w:b/>
          <w:bCs/>
        </w:rPr>
      </w:pPr>
    </w:p>
    <w:p w14:paraId="122E97B0" w14:textId="4C1E9281" w:rsidR="00452AEE" w:rsidRDefault="00434406" w:rsidP="00E86B52">
      <w:pPr>
        <w:spacing w:after="240"/>
        <w:jc w:val="both"/>
        <w:rPr>
          <w:rFonts w:ascii="Arial" w:hAnsi="Arial" w:cs="Arial"/>
          <w:b/>
          <w:bCs/>
        </w:rPr>
      </w:pPr>
      <w:r>
        <w:rPr>
          <w:rFonts w:ascii="Arial" w:hAnsi="Arial" w:cs="Arial"/>
          <w:b/>
          <w:bCs/>
        </w:rPr>
        <w:t xml:space="preserve">K § 5 </w:t>
      </w:r>
      <w:r w:rsidR="00452AEE" w:rsidRPr="00452AEE">
        <w:rPr>
          <w:rFonts w:ascii="Arial" w:hAnsi="Arial" w:cs="Arial"/>
          <w:b/>
          <w:bCs/>
        </w:rPr>
        <w:t>Pravidla pro vytápění ve stavu nouze v teplárenství</w:t>
      </w:r>
    </w:p>
    <w:p w14:paraId="27E2359B" w14:textId="1A15A9C4" w:rsidR="00603C59" w:rsidRPr="00782864" w:rsidRDefault="00782864" w:rsidP="00E86B52">
      <w:pPr>
        <w:spacing w:after="240"/>
        <w:jc w:val="both"/>
        <w:rPr>
          <w:rFonts w:ascii="Arial" w:hAnsi="Arial" w:cs="Arial"/>
          <w:bCs/>
        </w:rPr>
      </w:pPr>
      <w:r>
        <w:rPr>
          <w:rFonts w:ascii="Arial" w:hAnsi="Arial" w:cs="Arial"/>
          <w:bCs/>
        </w:rPr>
        <w:t xml:space="preserve">Ustanovení </w:t>
      </w:r>
      <w:r w:rsidR="00452AEE">
        <w:rPr>
          <w:rFonts w:ascii="Arial" w:hAnsi="Arial" w:cs="Arial"/>
          <w:bCs/>
        </w:rPr>
        <w:t xml:space="preserve">definuje, že postup dle § 3 a 4 </w:t>
      </w:r>
      <w:r w:rsidR="00434406">
        <w:rPr>
          <w:rFonts w:ascii="Arial" w:hAnsi="Arial" w:cs="Arial"/>
          <w:bCs/>
        </w:rPr>
        <w:t xml:space="preserve">platí </w:t>
      </w:r>
      <w:r w:rsidR="00452AEE">
        <w:rPr>
          <w:rFonts w:ascii="Arial" w:hAnsi="Arial" w:cs="Arial"/>
          <w:bCs/>
        </w:rPr>
        <w:t>v případě stavu nouze</w:t>
      </w:r>
      <w:r w:rsidR="00434406">
        <w:rPr>
          <w:rFonts w:ascii="Arial" w:hAnsi="Arial" w:cs="Arial"/>
          <w:bCs/>
        </w:rPr>
        <w:t>,</w:t>
      </w:r>
      <w:r w:rsidR="00452AEE">
        <w:rPr>
          <w:rFonts w:ascii="Arial" w:hAnsi="Arial" w:cs="Arial"/>
          <w:bCs/>
        </w:rPr>
        <w:t xml:space="preserve"> pouze pokud je do budovy dodávána tepelná energie v dostatečném množství </w:t>
      </w:r>
      <w:r w:rsidR="00434406">
        <w:rPr>
          <w:rFonts w:ascii="Arial" w:hAnsi="Arial" w:cs="Arial"/>
          <w:bCs/>
        </w:rPr>
        <w:t xml:space="preserve">nutném </w:t>
      </w:r>
      <w:r w:rsidR="00452AEE">
        <w:rPr>
          <w:rFonts w:ascii="Arial" w:hAnsi="Arial" w:cs="Arial"/>
          <w:bCs/>
        </w:rPr>
        <w:t>pro udržení teplot vnitřního vzduchu dle přílohy.</w:t>
      </w:r>
      <w:r w:rsidR="00EE5A74">
        <w:rPr>
          <w:rFonts w:ascii="Arial" w:hAnsi="Arial" w:cs="Arial"/>
          <w:bCs/>
        </w:rPr>
        <w:t xml:space="preserve"> </w:t>
      </w:r>
      <w:r w:rsidR="000C68BE">
        <w:rPr>
          <w:rFonts w:ascii="Arial" w:hAnsi="Arial" w:cs="Arial"/>
          <w:bCs/>
        </w:rPr>
        <w:t xml:space="preserve">V případě, že </w:t>
      </w:r>
      <w:r w:rsidR="00EE5A74" w:rsidRPr="00EE5A74">
        <w:rPr>
          <w:rFonts w:ascii="Arial" w:hAnsi="Arial" w:cs="Arial"/>
          <w:bCs/>
        </w:rPr>
        <w:t>na základě opatření přijatých podle § 88</w:t>
      </w:r>
      <w:r w:rsidR="00EE5A74">
        <w:rPr>
          <w:rFonts w:ascii="Arial" w:hAnsi="Arial" w:cs="Arial"/>
          <w:bCs/>
        </w:rPr>
        <w:t xml:space="preserve"> </w:t>
      </w:r>
      <w:r w:rsidR="00EE5A74" w:rsidRPr="00EE5A74">
        <w:rPr>
          <w:rFonts w:ascii="Arial" w:hAnsi="Arial" w:cs="Arial"/>
          <w:bCs/>
        </w:rPr>
        <w:t>energetického zákona (</w:t>
      </w:r>
      <w:r w:rsidR="00EE5A74">
        <w:rPr>
          <w:rFonts w:ascii="Arial" w:hAnsi="Arial" w:cs="Arial"/>
          <w:bCs/>
        </w:rPr>
        <w:t xml:space="preserve">nedostatek primárních zdrojů energie jako je zemní plyn, </w:t>
      </w:r>
      <w:proofErr w:type="gramStart"/>
      <w:r w:rsidR="00EE5A74">
        <w:rPr>
          <w:rFonts w:ascii="Arial" w:hAnsi="Arial" w:cs="Arial"/>
          <w:bCs/>
        </w:rPr>
        <w:t>uhlí,</w:t>
      </w:r>
      <w:proofErr w:type="gramEnd"/>
      <w:r w:rsidR="00EE5A74">
        <w:rPr>
          <w:rFonts w:ascii="Arial" w:hAnsi="Arial" w:cs="Arial"/>
          <w:bCs/>
        </w:rPr>
        <w:t xml:space="preserve"> atd.</w:t>
      </w:r>
      <w:r w:rsidR="00EE5A74" w:rsidRPr="00EE5A74">
        <w:rPr>
          <w:rFonts w:ascii="Arial" w:hAnsi="Arial" w:cs="Arial"/>
          <w:bCs/>
        </w:rPr>
        <w:t xml:space="preserve">) nebude </w:t>
      </w:r>
      <w:r w:rsidR="000C68BE">
        <w:rPr>
          <w:rFonts w:ascii="Arial" w:hAnsi="Arial" w:cs="Arial"/>
          <w:bCs/>
        </w:rPr>
        <w:t>tepelná energie dodávána v dostatečném množství, bude možné se od požadavků daných vyhláškou odchýlit.</w:t>
      </w:r>
    </w:p>
    <w:p w14:paraId="0967AA98" w14:textId="77777777" w:rsidR="000C68BE" w:rsidRDefault="000C68BE" w:rsidP="00B81FC8">
      <w:pPr>
        <w:spacing w:after="240"/>
        <w:jc w:val="both"/>
        <w:rPr>
          <w:rFonts w:ascii="Arial" w:hAnsi="Arial" w:cs="Arial"/>
          <w:b/>
          <w:bCs/>
        </w:rPr>
      </w:pPr>
    </w:p>
    <w:p w14:paraId="1B484E6D" w14:textId="7F660F58" w:rsidR="00B81FC8" w:rsidRPr="00B81FC8" w:rsidRDefault="004B545E" w:rsidP="00B81FC8">
      <w:pPr>
        <w:spacing w:after="240"/>
        <w:jc w:val="both"/>
        <w:rPr>
          <w:rFonts w:ascii="Arial" w:hAnsi="Arial" w:cs="Arial"/>
          <w:b/>
          <w:bCs/>
        </w:rPr>
      </w:pPr>
      <w:r w:rsidRPr="0067466D">
        <w:rPr>
          <w:rFonts w:ascii="Arial" w:hAnsi="Arial" w:cs="Arial"/>
          <w:b/>
          <w:bCs/>
        </w:rPr>
        <w:t>K §</w:t>
      </w:r>
      <w:r>
        <w:rPr>
          <w:rFonts w:ascii="Arial" w:hAnsi="Arial" w:cs="Arial"/>
          <w:b/>
          <w:bCs/>
        </w:rPr>
        <w:t xml:space="preserve"> 6</w:t>
      </w:r>
      <w:r w:rsidR="00434406">
        <w:rPr>
          <w:rFonts w:ascii="Arial" w:hAnsi="Arial" w:cs="Arial"/>
          <w:b/>
          <w:bCs/>
        </w:rPr>
        <w:t xml:space="preserve"> </w:t>
      </w:r>
      <w:r w:rsidR="00B81FC8" w:rsidRPr="00B81FC8">
        <w:rPr>
          <w:rFonts w:ascii="Arial" w:hAnsi="Arial" w:cs="Arial"/>
          <w:b/>
          <w:bCs/>
        </w:rPr>
        <w:t>Pravidla pro dodávku teplé vody při předcházení stavu nouze v teplárenství a ve stavu nouze v teplárenství</w:t>
      </w:r>
    </w:p>
    <w:p w14:paraId="6A8812B8" w14:textId="66CB2B48" w:rsidR="00B81FC8" w:rsidRPr="008E5E38" w:rsidRDefault="00B81FC8" w:rsidP="00B81FC8">
      <w:pPr>
        <w:spacing w:after="240"/>
        <w:jc w:val="both"/>
        <w:rPr>
          <w:rFonts w:ascii="Arial" w:hAnsi="Arial" w:cs="Arial"/>
          <w:bCs/>
          <w:u w:val="single"/>
        </w:rPr>
      </w:pPr>
      <w:r w:rsidRPr="008E5E38">
        <w:rPr>
          <w:rFonts w:ascii="Arial" w:hAnsi="Arial" w:cs="Arial"/>
          <w:bCs/>
          <w:u w:val="single"/>
        </w:rPr>
        <w:t xml:space="preserve">Odst. </w:t>
      </w:r>
      <w:r>
        <w:rPr>
          <w:rFonts w:ascii="Arial" w:hAnsi="Arial" w:cs="Arial"/>
          <w:bCs/>
          <w:u w:val="single"/>
        </w:rPr>
        <w:t>1</w:t>
      </w:r>
    </w:p>
    <w:p w14:paraId="6895AF0A" w14:textId="6D3011DC" w:rsidR="004B545E" w:rsidRDefault="00073A2C" w:rsidP="00E86B52">
      <w:pPr>
        <w:spacing w:after="240"/>
        <w:jc w:val="both"/>
        <w:rPr>
          <w:rFonts w:ascii="Arial" w:hAnsi="Arial" w:cs="Arial"/>
          <w:bCs/>
        </w:rPr>
      </w:pPr>
      <w:r>
        <w:rPr>
          <w:rFonts w:ascii="Arial" w:hAnsi="Arial" w:cs="Arial"/>
          <w:bCs/>
        </w:rPr>
        <w:t>Ustanovení definuje, že tepl</w:t>
      </w:r>
      <w:r w:rsidR="00434406">
        <w:rPr>
          <w:rFonts w:ascii="Arial" w:hAnsi="Arial" w:cs="Arial"/>
          <w:bCs/>
        </w:rPr>
        <w:t xml:space="preserve">á </w:t>
      </w:r>
      <w:r>
        <w:rPr>
          <w:rFonts w:ascii="Arial" w:hAnsi="Arial" w:cs="Arial"/>
          <w:bCs/>
        </w:rPr>
        <w:t>vod</w:t>
      </w:r>
      <w:r w:rsidR="00434406">
        <w:rPr>
          <w:rFonts w:ascii="Arial" w:hAnsi="Arial" w:cs="Arial"/>
          <w:bCs/>
        </w:rPr>
        <w:t xml:space="preserve">a je dodávána </w:t>
      </w:r>
      <w:r>
        <w:rPr>
          <w:rFonts w:ascii="Arial" w:hAnsi="Arial" w:cs="Arial"/>
          <w:bCs/>
        </w:rPr>
        <w:t xml:space="preserve">v rozmezí </w:t>
      </w:r>
      <w:r w:rsidR="00434406">
        <w:rPr>
          <w:rFonts w:ascii="Arial" w:hAnsi="Arial" w:cs="Arial"/>
          <w:bCs/>
        </w:rPr>
        <w:t xml:space="preserve">teplot </w:t>
      </w:r>
      <w:r w:rsidR="00EE5A74">
        <w:rPr>
          <w:rFonts w:ascii="Arial" w:hAnsi="Arial" w:cs="Arial"/>
          <w:bCs/>
        </w:rPr>
        <w:t>45–60</w:t>
      </w:r>
      <w:r>
        <w:rPr>
          <w:rFonts w:ascii="Arial" w:hAnsi="Arial" w:cs="Arial"/>
          <w:bCs/>
        </w:rPr>
        <w:t xml:space="preserve"> </w:t>
      </w:r>
      <w:r w:rsidRPr="00AC5A59">
        <w:rPr>
          <w:rFonts w:ascii="Arial" w:hAnsi="Arial" w:cs="Arial"/>
          <w:bCs/>
        </w:rPr>
        <w:t>°C</w:t>
      </w:r>
      <w:r w:rsidR="00434406">
        <w:rPr>
          <w:rFonts w:ascii="Arial" w:hAnsi="Arial" w:cs="Arial"/>
          <w:bCs/>
        </w:rPr>
        <w:t xml:space="preserve"> (na výtoku u spotřebitele)</w:t>
      </w:r>
      <w:r>
        <w:rPr>
          <w:rFonts w:ascii="Arial" w:hAnsi="Arial" w:cs="Arial"/>
          <w:bCs/>
        </w:rPr>
        <w:t xml:space="preserve">. Tento teplotní interval je nezbytný pro zachování kvality vody z hlediska hygienických předpisů (např. </w:t>
      </w:r>
      <w:r w:rsidR="00434406">
        <w:rPr>
          <w:rFonts w:ascii="Arial" w:hAnsi="Arial" w:cs="Arial"/>
          <w:bCs/>
        </w:rPr>
        <w:t xml:space="preserve">kvůli předcházení onemocnění typu </w:t>
      </w:r>
      <w:proofErr w:type="spellStart"/>
      <w:r>
        <w:rPr>
          <w:rFonts w:ascii="Arial" w:hAnsi="Arial" w:cs="Arial"/>
          <w:bCs/>
        </w:rPr>
        <w:t>legionel</w:t>
      </w:r>
      <w:r w:rsidR="00FB72F9">
        <w:rPr>
          <w:rFonts w:ascii="Arial" w:hAnsi="Arial" w:cs="Arial"/>
          <w:bCs/>
        </w:rPr>
        <w:t>óza</w:t>
      </w:r>
      <w:proofErr w:type="spellEnd"/>
      <w:r>
        <w:rPr>
          <w:rFonts w:ascii="Arial" w:hAnsi="Arial" w:cs="Arial"/>
          <w:bCs/>
        </w:rPr>
        <w:t>), a to i v době předcházení stavu nouze.</w:t>
      </w:r>
      <w:r w:rsidR="00434406">
        <w:rPr>
          <w:rFonts w:ascii="Arial" w:hAnsi="Arial" w:cs="Arial"/>
          <w:bCs/>
        </w:rPr>
        <w:t xml:space="preserve"> Ustanovení se nemění oproti současné platné legislativě.</w:t>
      </w:r>
    </w:p>
    <w:p w14:paraId="3A524172" w14:textId="6E39F621" w:rsidR="004C37EE" w:rsidRPr="008E5E38" w:rsidRDefault="004C37EE" w:rsidP="004C37EE">
      <w:pPr>
        <w:spacing w:after="240"/>
        <w:jc w:val="both"/>
        <w:rPr>
          <w:rFonts w:ascii="Arial" w:hAnsi="Arial" w:cs="Arial"/>
          <w:bCs/>
          <w:u w:val="single"/>
        </w:rPr>
      </w:pPr>
      <w:r w:rsidRPr="008E5E38">
        <w:rPr>
          <w:rFonts w:ascii="Arial" w:hAnsi="Arial" w:cs="Arial"/>
          <w:bCs/>
          <w:u w:val="single"/>
        </w:rPr>
        <w:t xml:space="preserve">Odst. </w:t>
      </w:r>
      <w:r>
        <w:rPr>
          <w:rFonts w:ascii="Arial" w:hAnsi="Arial" w:cs="Arial"/>
          <w:bCs/>
          <w:u w:val="single"/>
        </w:rPr>
        <w:t>2</w:t>
      </w:r>
    </w:p>
    <w:p w14:paraId="73F61A05" w14:textId="4078A681" w:rsidR="004C37EE" w:rsidRDefault="004C37EE" w:rsidP="00E86B52">
      <w:pPr>
        <w:spacing w:after="240"/>
        <w:jc w:val="both"/>
        <w:rPr>
          <w:rFonts w:ascii="Arial" w:hAnsi="Arial" w:cs="Arial"/>
          <w:bCs/>
        </w:rPr>
      </w:pPr>
      <w:r>
        <w:rPr>
          <w:rFonts w:ascii="Arial" w:hAnsi="Arial" w:cs="Arial"/>
          <w:bCs/>
        </w:rPr>
        <w:t>Je stanoven minimální interval</w:t>
      </w:r>
      <w:r w:rsidR="00434406">
        <w:rPr>
          <w:rFonts w:ascii="Arial" w:hAnsi="Arial" w:cs="Arial"/>
          <w:bCs/>
        </w:rPr>
        <w:t xml:space="preserve">, během kterého je zajišťována </w:t>
      </w:r>
      <w:r>
        <w:rPr>
          <w:rFonts w:ascii="Arial" w:hAnsi="Arial" w:cs="Arial"/>
          <w:bCs/>
        </w:rPr>
        <w:t>dodávk</w:t>
      </w:r>
      <w:r w:rsidR="00434406">
        <w:rPr>
          <w:rFonts w:ascii="Arial" w:hAnsi="Arial" w:cs="Arial"/>
          <w:bCs/>
        </w:rPr>
        <w:t>a</w:t>
      </w:r>
      <w:r>
        <w:rPr>
          <w:rFonts w:ascii="Arial" w:hAnsi="Arial" w:cs="Arial"/>
          <w:bCs/>
        </w:rPr>
        <w:t xml:space="preserve"> teplé vody</w:t>
      </w:r>
      <w:r w:rsidR="00434406">
        <w:rPr>
          <w:rFonts w:ascii="Arial" w:hAnsi="Arial" w:cs="Arial"/>
          <w:bCs/>
        </w:rPr>
        <w:t xml:space="preserve">. Interval je stanoven tak, aby pokrýval období, kdy je největší poptávka po teplé vodě.   </w:t>
      </w:r>
    </w:p>
    <w:p w14:paraId="6A986952" w14:textId="40A48C40" w:rsidR="004C37EE" w:rsidRPr="008E5E38" w:rsidRDefault="004C37EE" w:rsidP="004C37EE">
      <w:pPr>
        <w:spacing w:after="240"/>
        <w:jc w:val="both"/>
        <w:rPr>
          <w:rFonts w:ascii="Arial" w:hAnsi="Arial" w:cs="Arial"/>
          <w:bCs/>
          <w:u w:val="single"/>
        </w:rPr>
      </w:pPr>
      <w:r w:rsidRPr="008E5E38">
        <w:rPr>
          <w:rFonts w:ascii="Arial" w:hAnsi="Arial" w:cs="Arial"/>
          <w:bCs/>
          <w:u w:val="single"/>
        </w:rPr>
        <w:t xml:space="preserve">Odst. </w:t>
      </w:r>
      <w:r>
        <w:rPr>
          <w:rFonts w:ascii="Arial" w:hAnsi="Arial" w:cs="Arial"/>
          <w:bCs/>
          <w:u w:val="single"/>
        </w:rPr>
        <w:t>3</w:t>
      </w:r>
    </w:p>
    <w:p w14:paraId="1E3D8CE0" w14:textId="34405474" w:rsidR="004C37EE" w:rsidRDefault="004C37EE" w:rsidP="00E86B52">
      <w:pPr>
        <w:spacing w:after="240"/>
        <w:jc w:val="both"/>
        <w:rPr>
          <w:rFonts w:ascii="Arial" w:hAnsi="Arial" w:cs="Arial"/>
          <w:bCs/>
        </w:rPr>
      </w:pPr>
      <w:r>
        <w:rPr>
          <w:rFonts w:ascii="Arial" w:hAnsi="Arial" w:cs="Arial"/>
          <w:bCs/>
        </w:rPr>
        <w:t>U</w:t>
      </w:r>
      <w:r w:rsidR="00434406">
        <w:rPr>
          <w:rFonts w:ascii="Arial" w:hAnsi="Arial" w:cs="Arial"/>
          <w:bCs/>
        </w:rPr>
        <w:t>stanovení u</w:t>
      </w:r>
      <w:r>
        <w:rPr>
          <w:rFonts w:ascii="Arial" w:hAnsi="Arial" w:cs="Arial"/>
          <w:bCs/>
        </w:rPr>
        <w:t xml:space="preserve">možnuje přerušení dodávky teplé vody, není-li nebytová budova provozována, tedy nedochází k odběru teplé vody. </w:t>
      </w:r>
      <w:r w:rsidR="00434406">
        <w:rPr>
          <w:rFonts w:ascii="Arial" w:hAnsi="Arial" w:cs="Arial"/>
          <w:bCs/>
        </w:rPr>
        <w:t>Možnost p</w:t>
      </w:r>
      <w:r w:rsidR="003816D2">
        <w:rPr>
          <w:rFonts w:ascii="Arial" w:hAnsi="Arial" w:cs="Arial"/>
          <w:bCs/>
        </w:rPr>
        <w:t>řerušení dodávky je vázán</w:t>
      </w:r>
      <w:r w:rsidR="00434406">
        <w:rPr>
          <w:rFonts w:ascii="Arial" w:hAnsi="Arial" w:cs="Arial"/>
          <w:bCs/>
        </w:rPr>
        <w:t>a</w:t>
      </w:r>
      <w:r w:rsidR="003816D2">
        <w:rPr>
          <w:rFonts w:ascii="Arial" w:hAnsi="Arial" w:cs="Arial"/>
          <w:bCs/>
        </w:rPr>
        <w:t xml:space="preserve"> na technickou proveditelnost </w:t>
      </w:r>
      <w:r w:rsidR="00434406">
        <w:rPr>
          <w:rFonts w:ascii="Arial" w:hAnsi="Arial" w:cs="Arial"/>
          <w:bCs/>
        </w:rPr>
        <w:t xml:space="preserve">takového přerušení </w:t>
      </w:r>
      <w:r w:rsidR="003816D2">
        <w:rPr>
          <w:rFonts w:ascii="Arial" w:hAnsi="Arial" w:cs="Arial"/>
          <w:bCs/>
        </w:rPr>
        <w:t xml:space="preserve">dodávky. </w:t>
      </w:r>
    </w:p>
    <w:p w14:paraId="331C8B0E" w14:textId="0E4DBCE6" w:rsidR="00BE631A" w:rsidRPr="008E5E38" w:rsidRDefault="00BE631A" w:rsidP="00BE631A">
      <w:pPr>
        <w:spacing w:after="240"/>
        <w:jc w:val="both"/>
        <w:rPr>
          <w:rFonts w:ascii="Arial" w:hAnsi="Arial" w:cs="Arial"/>
          <w:bCs/>
          <w:u w:val="single"/>
        </w:rPr>
      </w:pPr>
      <w:r w:rsidRPr="008E5E38">
        <w:rPr>
          <w:rFonts w:ascii="Arial" w:hAnsi="Arial" w:cs="Arial"/>
          <w:bCs/>
          <w:u w:val="single"/>
        </w:rPr>
        <w:t xml:space="preserve">Odst. </w:t>
      </w:r>
      <w:r>
        <w:rPr>
          <w:rFonts w:ascii="Arial" w:hAnsi="Arial" w:cs="Arial"/>
          <w:bCs/>
          <w:u w:val="single"/>
        </w:rPr>
        <w:t>4</w:t>
      </w:r>
    </w:p>
    <w:p w14:paraId="538D30DD" w14:textId="08DB0317" w:rsidR="004C37EE" w:rsidRDefault="00434406" w:rsidP="00E86B52">
      <w:pPr>
        <w:spacing w:after="240"/>
        <w:jc w:val="both"/>
        <w:rPr>
          <w:rFonts w:ascii="Arial" w:hAnsi="Arial" w:cs="Arial"/>
          <w:bCs/>
        </w:rPr>
      </w:pPr>
      <w:r>
        <w:rPr>
          <w:rFonts w:ascii="Arial" w:hAnsi="Arial" w:cs="Arial"/>
          <w:bCs/>
        </w:rPr>
        <w:t>Je s</w:t>
      </w:r>
      <w:r w:rsidR="00BE631A">
        <w:rPr>
          <w:rFonts w:ascii="Arial" w:hAnsi="Arial" w:cs="Arial"/>
          <w:bCs/>
        </w:rPr>
        <w:t>tanov</w:t>
      </w:r>
      <w:r>
        <w:rPr>
          <w:rFonts w:ascii="Arial" w:hAnsi="Arial" w:cs="Arial"/>
          <w:bCs/>
        </w:rPr>
        <w:t>en</w:t>
      </w:r>
      <w:r w:rsidR="00BE631A">
        <w:rPr>
          <w:rFonts w:ascii="Arial" w:hAnsi="Arial" w:cs="Arial"/>
          <w:bCs/>
        </w:rPr>
        <w:t xml:space="preserve"> postup oznámení odstávky dodávky teplé vody do budovy, je-li zapotřebí provést údržbu technických zařízení spojen</w:t>
      </w:r>
      <w:r>
        <w:rPr>
          <w:rFonts w:ascii="Arial" w:hAnsi="Arial" w:cs="Arial"/>
          <w:bCs/>
        </w:rPr>
        <w:t>ou</w:t>
      </w:r>
      <w:r w:rsidR="00BE631A">
        <w:rPr>
          <w:rFonts w:ascii="Arial" w:hAnsi="Arial" w:cs="Arial"/>
          <w:bCs/>
        </w:rPr>
        <w:t xml:space="preserve"> s výrobou a dodávkou teplé vody, a to mimo otopné období. </w:t>
      </w:r>
    </w:p>
    <w:p w14:paraId="49606167" w14:textId="27F83660" w:rsidR="00BE631A" w:rsidRPr="008E5E38" w:rsidRDefault="00BE631A" w:rsidP="00BE631A">
      <w:pPr>
        <w:spacing w:after="240"/>
        <w:jc w:val="both"/>
        <w:rPr>
          <w:rFonts w:ascii="Arial" w:hAnsi="Arial" w:cs="Arial"/>
          <w:bCs/>
          <w:u w:val="single"/>
        </w:rPr>
      </w:pPr>
      <w:r w:rsidRPr="008E5E38">
        <w:rPr>
          <w:rFonts w:ascii="Arial" w:hAnsi="Arial" w:cs="Arial"/>
          <w:bCs/>
          <w:u w:val="single"/>
        </w:rPr>
        <w:lastRenderedPageBreak/>
        <w:t xml:space="preserve">Odst. </w:t>
      </w:r>
      <w:r>
        <w:rPr>
          <w:rFonts w:ascii="Arial" w:hAnsi="Arial" w:cs="Arial"/>
          <w:bCs/>
          <w:u w:val="single"/>
        </w:rPr>
        <w:t>5</w:t>
      </w:r>
    </w:p>
    <w:p w14:paraId="7B7214E9" w14:textId="31F2DB32" w:rsidR="00BE631A" w:rsidRPr="00782864" w:rsidRDefault="00BE631A" w:rsidP="00BE631A">
      <w:pPr>
        <w:spacing w:after="240"/>
        <w:jc w:val="both"/>
        <w:rPr>
          <w:rFonts w:ascii="Arial" w:hAnsi="Arial" w:cs="Arial"/>
          <w:bCs/>
        </w:rPr>
      </w:pPr>
      <w:r>
        <w:rPr>
          <w:rFonts w:ascii="Arial" w:hAnsi="Arial" w:cs="Arial"/>
          <w:bCs/>
        </w:rPr>
        <w:t xml:space="preserve">Ustanovení definuje, že postup dle odst. 1 až 4 </w:t>
      </w:r>
      <w:r w:rsidR="00434406">
        <w:rPr>
          <w:rFonts w:ascii="Arial" w:hAnsi="Arial" w:cs="Arial"/>
          <w:bCs/>
        </w:rPr>
        <w:t xml:space="preserve">platí </w:t>
      </w:r>
      <w:r>
        <w:rPr>
          <w:rFonts w:ascii="Arial" w:hAnsi="Arial" w:cs="Arial"/>
          <w:bCs/>
        </w:rPr>
        <w:t>v případě stavu nouze</w:t>
      </w:r>
      <w:r w:rsidR="00434406">
        <w:rPr>
          <w:rFonts w:ascii="Arial" w:hAnsi="Arial" w:cs="Arial"/>
          <w:bCs/>
        </w:rPr>
        <w:t xml:space="preserve"> </w:t>
      </w:r>
      <w:r>
        <w:rPr>
          <w:rFonts w:ascii="Arial" w:hAnsi="Arial" w:cs="Arial"/>
          <w:bCs/>
        </w:rPr>
        <w:t xml:space="preserve">pouze pokud je do budovy dodávána </w:t>
      </w:r>
      <w:r w:rsidR="00434406">
        <w:rPr>
          <w:rFonts w:ascii="Arial" w:hAnsi="Arial" w:cs="Arial"/>
          <w:bCs/>
        </w:rPr>
        <w:t xml:space="preserve">tepelná energie v dostatečném množství nutném pro přípravu </w:t>
      </w:r>
      <w:r>
        <w:rPr>
          <w:rFonts w:ascii="Arial" w:hAnsi="Arial" w:cs="Arial"/>
          <w:bCs/>
        </w:rPr>
        <w:t>tepl</w:t>
      </w:r>
      <w:r w:rsidR="00434406">
        <w:rPr>
          <w:rFonts w:ascii="Arial" w:hAnsi="Arial" w:cs="Arial"/>
          <w:bCs/>
        </w:rPr>
        <w:t>é</w:t>
      </w:r>
      <w:r>
        <w:rPr>
          <w:rFonts w:ascii="Arial" w:hAnsi="Arial" w:cs="Arial"/>
          <w:bCs/>
        </w:rPr>
        <w:t xml:space="preserve"> vod</w:t>
      </w:r>
      <w:r w:rsidR="00434406">
        <w:rPr>
          <w:rFonts w:ascii="Arial" w:hAnsi="Arial" w:cs="Arial"/>
          <w:bCs/>
        </w:rPr>
        <w:t>y</w:t>
      </w:r>
      <w:r>
        <w:rPr>
          <w:rFonts w:ascii="Arial" w:hAnsi="Arial" w:cs="Arial"/>
          <w:bCs/>
        </w:rPr>
        <w:t xml:space="preserve"> v</w:t>
      </w:r>
      <w:r w:rsidR="00434406">
        <w:rPr>
          <w:rFonts w:ascii="Arial" w:hAnsi="Arial" w:cs="Arial"/>
          <w:bCs/>
        </w:rPr>
        <w:t> parametrech požadovaných návrhem vyhlášky</w:t>
      </w:r>
      <w:r>
        <w:rPr>
          <w:rFonts w:ascii="Arial" w:hAnsi="Arial" w:cs="Arial"/>
          <w:bCs/>
        </w:rPr>
        <w:t>.</w:t>
      </w:r>
      <w:r w:rsidR="00EE5A74">
        <w:rPr>
          <w:rFonts w:ascii="Arial" w:hAnsi="Arial" w:cs="Arial"/>
          <w:bCs/>
        </w:rPr>
        <w:t xml:space="preserve"> </w:t>
      </w:r>
      <w:r w:rsidR="000C68BE">
        <w:rPr>
          <w:rFonts w:ascii="Arial" w:hAnsi="Arial" w:cs="Arial"/>
          <w:bCs/>
        </w:rPr>
        <w:t xml:space="preserve">V případě, že </w:t>
      </w:r>
      <w:r w:rsidR="00EE5A74" w:rsidRPr="00EE5A74">
        <w:rPr>
          <w:rFonts w:ascii="Arial" w:hAnsi="Arial" w:cs="Arial"/>
          <w:bCs/>
        </w:rPr>
        <w:t>na základě opatření přijatých podle § 88</w:t>
      </w:r>
      <w:r w:rsidR="00EE5A74">
        <w:rPr>
          <w:rFonts w:ascii="Arial" w:hAnsi="Arial" w:cs="Arial"/>
          <w:bCs/>
        </w:rPr>
        <w:t xml:space="preserve"> </w:t>
      </w:r>
      <w:r w:rsidR="00EE5A74" w:rsidRPr="00EE5A74">
        <w:rPr>
          <w:rFonts w:ascii="Arial" w:hAnsi="Arial" w:cs="Arial"/>
          <w:bCs/>
        </w:rPr>
        <w:t>energetického zákona (</w:t>
      </w:r>
      <w:r w:rsidR="00EE5A74">
        <w:rPr>
          <w:rFonts w:ascii="Arial" w:hAnsi="Arial" w:cs="Arial"/>
          <w:bCs/>
        </w:rPr>
        <w:t>nedostatek primárních zdrojů energie jako je zemní plyn, uhlí atd.</w:t>
      </w:r>
      <w:r w:rsidR="00EE5A74" w:rsidRPr="00EE5A74">
        <w:rPr>
          <w:rFonts w:ascii="Arial" w:hAnsi="Arial" w:cs="Arial"/>
          <w:bCs/>
        </w:rPr>
        <w:t xml:space="preserve">) nebude </w:t>
      </w:r>
      <w:r w:rsidR="000C68BE">
        <w:rPr>
          <w:rFonts w:ascii="Arial" w:hAnsi="Arial" w:cs="Arial"/>
          <w:bCs/>
        </w:rPr>
        <w:t>tepelná energie dodávána v dostatečném množství, bude možné se od</w:t>
      </w:r>
      <w:r w:rsidR="00EE5A74">
        <w:rPr>
          <w:rFonts w:ascii="Arial" w:hAnsi="Arial" w:cs="Arial"/>
          <w:bCs/>
        </w:rPr>
        <w:t xml:space="preserve"> požadavk</w:t>
      </w:r>
      <w:r w:rsidR="000C68BE">
        <w:rPr>
          <w:rFonts w:ascii="Arial" w:hAnsi="Arial" w:cs="Arial"/>
          <w:bCs/>
        </w:rPr>
        <w:t>ů</w:t>
      </w:r>
      <w:r w:rsidR="00EE5A74">
        <w:rPr>
          <w:rFonts w:ascii="Arial" w:hAnsi="Arial" w:cs="Arial"/>
          <w:bCs/>
        </w:rPr>
        <w:t xml:space="preserve"> dan</w:t>
      </w:r>
      <w:r w:rsidR="000C68BE">
        <w:rPr>
          <w:rFonts w:ascii="Arial" w:hAnsi="Arial" w:cs="Arial"/>
          <w:bCs/>
        </w:rPr>
        <w:t>ých</w:t>
      </w:r>
      <w:r w:rsidR="00EE5A74">
        <w:rPr>
          <w:rFonts w:ascii="Arial" w:hAnsi="Arial" w:cs="Arial"/>
          <w:bCs/>
        </w:rPr>
        <w:t xml:space="preserve"> vyhláškou</w:t>
      </w:r>
      <w:r w:rsidR="000C68BE">
        <w:rPr>
          <w:rFonts w:ascii="Arial" w:hAnsi="Arial" w:cs="Arial"/>
          <w:bCs/>
        </w:rPr>
        <w:t xml:space="preserve"> odchýlit</w:t>
      </w:r>
      <w:r w:rsidR="00EE5A74">
        <w:rPr>
          <w:rFonts w:ascii="Arial" w:hAnsi="Arial" w:cs="Arial"/>
          <w:bCs/>
        </w:rPr>
        <w:t>.</w:t>
      </w:r>
    </w:p>
    <w:p w14:paraId="4577BF43" w14:textId="77777777" w:rsidR="004B545E" w:rsidRDefault="004B545E" w:rsidP="00E86B52">
      <w:pPr>
        <w:spacing w:after="240"/>
        <w:jc w:val="both"/>
        <w:rPr>
          <w:rFonts w:ascii="Arial" w:hAnsi="Arial" w:cs="Arial"/>
          <w:b/>
          <w:bCs/>
        </w:rPr>
      </w:pPr>
    </w:p>
    <w:p w14:paraId="023F7C7C" w14:textId="333E1237" w:rsidR="00010871" w:rsidRPr="0067466D" w:rsidRDefault="00010871" w:rsidP="00E86B52">
      <w:pPr>
        <w:spacing w:after="240"/>
        <w:jc w:val="both"/>
        <w:rPr>
          <w:rFonts w:ascii="Arial" w:hAnsi="Arial" w:cs="Arial"/>
          <w:b/>
          <w:bCs/>
        </w:rPr>
      </w:pPr>
      <w:r w:rsidRPr="0067466D">
        <w:rPr>
          <w:rFonts w:ascii="Arial" w:hAnsi="Arial" w:cs="Arial"/>
          <w:b/>
          <w:bCs/>
        </w:rPr>
        <w:t>K </w:t>
      </w:r>
      <w:r w:rsidR="00603C59" w:rsidRPr="0067466D">
        <w:rPr>
          <w:rFonts w:ascii="Arial" w:hAnsi="Arial" w:cs="Arial"/>
          <w:b/>
          <w:bCs/>
        </w:rPr>
        <w:t>§</w:t>
      </w:r>
      <w:r w:rsidR="00A91CE4">
        <w:rPr>
          <w:rFonts w:ascii="Arial" w:hAnsi="Arial" w:cs="Arial"/>
          <w:b/>
          <w:bCs/>
        </w:rPr>
        <w:t xml:space="preserve"> 7</w:t>
      </w:r>
      <w:r w:rsidR="00310F63">
        <w:rPr>
          <w:rFonts w:ascii="Arial" w:hAnsi="Arial" w:cs="Arial"/>
          <w:b/>
          <w:bCs/>
        </w:rPr>
        <w:t xml:space="preserve"> Účinnost</w:t>
      </w:r>
    </w:p>
    <w:p w14:paraId="0A691E15" w14:textId="3B819875" w:rsidR="00A91CE4" w:rsidRDefault="00707AF7" w:rsidP="00E86B52">
      <w:pPr>
        <w:spacing w:after="240"/>
        <w:jc w:val="both"/>
        <w:rPr>
          <w:rFonts w:ascii="Arial" w:hAnsi="Arial" w:cs="Arial"/>
          <w:bCs/>
        </w:rPr>
      </w:pPr>
      <w:r w:rsidRPr="0067466D">
        <w:rPr>
          <w:rFonts w:ascii="Arial" w:hAnsi="Arial" w:cs="Arial"/>
          <w:bCs/>
        </w:rPr>
        <w:t xml:space="preserve">Účinnost </w:t>
      </w:r>
      <w:r w:rsidR="00035A1B">
        <w:rPr>
          <w:rFonts w:ascii="Arial" w:hAnsi="Arial" w:cs="Arial"/>
          <w:bCs/>
        </w:rPr>
        <w:t xml:space="preserve">vyhlášky </w:t>
      </w:r>
      <w:r w:rsidRPr="0067466D">
        <w:rPr>
          <w:rFonts w:ascii="Arial" w:hAnsi="Arial" w:cs="Arial"/>
          <w:bCs/>
        </w:rPr>
        <w:t xml:space="preserve">je navržena </w:t>
      </w:r>
      <w:r w:rsidR="00603C59" w:rsidRPr="0067466D">
        <w:rPr>
          <w:rFonts w:ascii="Arial" w:hAnsi="Arial" w:cs="Arial"/>
          <w:bCs/>
        </w:rPr>
        <w:t>na</w:t>
      </w:r>
      <w:r w:rsidR="00A91CE4">
        <w:rPr>
          <w:rFonts w:ascii="Arial" w:hAnsi="Arial" w:cs="Arial"/>
          <w:bCs/>
        </w:rPr>
        <w:t xml:space="preserve"> den</w:t>
      </w:r>
      <w:r w:rsidR="00603C59" w:rsidRPr="0067466D">
        <w:rPr>
          <w:rFonts w:ascii="Arial" w:hAnsi="Arial" w:cs="Arial"/>
          <w:bCs/>
        </w:rPr>
        <w:t xml:space="preserve"> </w:t>
      </w:r>
      <w:r w:rsidR="00A91CE4">
        <w:rPr>
          <w:rFonts w:ascii="Arial" w:hAnsi="Arial" w:cs="Arial"/>
          <w:bCs/>
        </w:rPr>
        <w:t>vyhlášení vyhlášky ve Sbírce zákonů</w:t>
      </w:r>
      <w:r w:rsidRPr="0067466D">
        <w:rPr>
          <w:rFonts w:ascii="Arial" w:hAnsi="Arial" w:cs="Arial"/>
          <w:bCs/>
        </w:rPr>
        <w:t xml:space="preserve">. </w:t>
      </w:r>
      <w:r w:rsidR="00A91CE4">
        <w:rPr>
          <w:rFonts w:ascii="Arial" w:hAnsi="Arial" w:cs="Arial"/>
          <w:bCs/>
        </w:rPr>
        <w:t>T</w:t>
      </w:r>
      <w:r w:rsidR="00A91CE4" w:rsidRPr="0067466D">
        <w:rPr>
          <w:rFonts w:ascii="Arial" w:hAnsi="Arial" w:cs="Arial"/>
          <w:bCs/>
        </w:rPr>
        <w:t>akto navržená účinnost je v souladu s § 3 odst. 4 zákona č. 309/1999 Sb., o Sbírce zákonů, ve znění zákona č. 277/2019 Sb., neboť navržením data účinnosti je naplněn naléhavý obecný zájem spočívající v potřebě připravit právní úpravu, aby mohla v případě nouze reagovat od začátku topného období na vzniklou situaci.</w:t>
      </w:r>
    </w:p>
    <w:p w14:paraId="6A231638" w14:textId="5F184639" w:rsidR="006566E3" w:rsidRDefault="006566E3" w:rsidP="00E86B52">
      <w:pPr>
        <w:spacing w:after="240"/>
        <w:jc w:val="both"/>
        <w:rPr>
          <w:rFonts w:ascii="Arial" w:hAnsi="Arial" w:cs="Arial"/>
          <w:bCs/>
        </w:rPr>
      </w:pPr>
    </w:p>
    <w:p w14:paraId="6F36EE1F" w14:textId="102945B1" w:rsidR="006566E3" w:rsidRDefault="006566E3" w:rsidP="006566E3">
      <w:pPr>
        <w:spacing w:after="240"/>
        <w:jc w:val="both"/>
        <w:rPr>
          <w:rFonts w:ascii="Arial" w:hAnsi="Arial" w:cs="Arial"/>
          <w:b/>
          <w:bCs/>
        </w:rPr>
      </w:pPr>
      <w:r w:rsidRPr="0067466D">
        <w:rPr>
          <w:rFonts w:ascii="Arial" w:hAnsi="Arial" w:cs="Arial"/>
          <w:b/>
          <w:bCs/>
        </w:rPr>
        <w:t>K</w:t>
      </w:r>
      <w:r>
        <w:rPr>
          <w:rFonts w:ascii="Arial" w:hAnsi="Arial" w:cs="Arial"/>
          <w:b/>
          <w:bCs/>
        </w:rPr>
        <w:t> příloze</w:t>
      </w:r>
    </w:p>
    <w:p w14:paraId="32F3090B" w14:textId="2B3171BC" w:rsidR="006566E3" w:rsidRPr="006566E3" w:rsidRDefault="00030346" w:rsidP="006566E3">
      <w:pPr>
        <w:spacing w:after="240"/>
        <w:jc w:val="both"/>
        <w:rPr>
          <w:rFonts w:ascii="Arial" w:hAnsi="Arial" w:cs="Arial"/>
          <w:bCs/>
        </w:rPr>
      </w:pPr>
      <w:r>
        <w:rPr>
          <w:rFonts w:ascii="Arial" w:hAnsi="Arial" w:cs="Arial"/>
          <w:bCs/>
        </w:rPr>
        <w:t>Příloha stanovuje průměrné teploty vnitřního vzduchu v místnostech a prostor</w:t>
      </w:r>
      <w:r w:rsidR="00035A1B">
        <w:rPr>
          <w:rFonts w:ascii="Arial" w:hAnsi="Arial" w:cs="Arial"/>
          <w:bCs/>
        </w:rPr>
        <w:t>e</w:t>
      </w:r>
      <w:r>
        <w:rPr>
          <w:rFonts w:ascii="Arial" w:hAnsi="Arial" w:cs="Arial"/>
          <w:bCs/>
        </w:rPr>
        <w:t>ch</w:t>
      </w:r>
      <w:r w:rsidR="009D25B2">
        <w:rPr>
          <w:rFonts w:ascii="Arial" w:hAnsi="Arial" w:cs="Arial"/>
          <w:bCs/>
        </w:rPr>
        <w:t xml:space="preserve"> dle jejich účelu využití. Navržené teploty jsou v souladu s hygienickými a jinými požadavky</w:t>
      </w:r>
      <w:r w:rsidR="00310F63">
        <w:rPr>
          <w:rFonts w:ascii="Arial" w:hAnsi="Arial" w:cs="Arial"/>
          <w:bCs/>
        </w:rPr>
        <w:t>, které</w:t>
      </w:r>
      <w:r w:rsidR="009D25B2">
        <w:rPr>
          <w:rFonts w:ascii="Arial" w:hAnsi="Arial" w:cs="Arial"/>
          <w:bCs/>
        </w:rPr>
        <w:t xml:space="preserve"> vyplývají z jiných právních předpisů. </w:t>
      </w:r>
    </w:p>
    <w:p w14:paraId="414AD76B" w14:textId="77777777" w:rsidR="006566E3" w:rsidRDefault="006566E3" w:rsidP="00E86B52">
      <w:pPr>
        <w:spacing w:after="240"/>
        <w:jc w:val="both"/>
        <w:rPr>
          <w:rFonts w:ascii="Arial" w:hAnsi="Arial" w:cs="Arial"/>
          <w:bCs/>
        </w:rPr>
      </w:pPr>
    </w:p>
    <w:sectPr w:rsidR="006566E3" w:rsidSect="00736B2E">
      <w:pgSz w:w="11906" w:h="16838"/>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77762" w14:textId="77777777" w:rsidR="00B23B61" w:rsidRDefault="00B23B61">
      <w:r>
        <w:separator/>
      </w:r>
    </w:p>
  </w:endnote>
  <w:endnote w:type="continuationSeparator" w:id="0">
    <w:p w14:paraId="6629B87D" w14:textId="77777777" w:rsidR="00B23B61" w:rsidRDefault="00B2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D5E66" w14:textId="77777777" w:rsidR="00517DCD" w:rsidRPr="00736B2E" w:rsidRDefault="00736B2E" w:rsidP="00736B2E">
    <w:pPr>
      <w:pStyle w:val="Podnadpis"/>
      <w:rPr>
        <w:rFonts w:ascii="Arial" w:hAnsi="Arial" w:cs="Arial"/>
        <w:sz w:val="22"/>
        <w:szCs w:val="22"/>
      </w:rPr>
    </w:pPr>
    <w:r>
      <w:rPr>
        <w:rFonts w:ascii="Arial" w:hAnsi="Arial" w:cs="Arial"/>
        <w:sz w:val="22"/>
        <w:szCs w:val="22"/>
      </w:rPr>
      <w:t xml:space="preserve">Stránka </w:t>
    </w:r>
    <w:r>
      <w:rPr>
        <w:rFonts w:ascii="Arial" w:hAnsi="Arial" w:cs="Arial"/>
        <w:sz w:val="22"/>
        <w:szCs w:val="22"/>
      </w:rPr>
      <w:fldChar w:fldCharType="begin"/>
    </w:r>
    <w:r>
      <w:rPr>
        <w:rFonts w:ascii="Arial" w:hAnsi="Arial" w:cs="Arial"/>
        <w:sz w:val="22"/>
        <w:szCs w:val="22"/>
      </w:rPr>
      <w:instrText>PAGE</w:instrText>
    </w:r>
    <w:r>
      <w:rPr>
        <w:rFonts w:ascii="Arial" w:hAnsi="Arial" w:cs="Arial"/>
        <w:sz w:val="22"/>
        <w:szCs w:val="22"/>
      </w:rPr>
      <w:fldChar w:fldCharType="separate"/>
    </w:r>
    <w:r w:rsidR="00CA06EA">
      <w:rPr>
        <w:rFonts w:ascii="Arial" w:hAnsi="Arial" w:cs="Arial"/>
        <w:noProof/>
        <w:sz w:val="22"/>
        <w:szCs w:val="22"/>
      </w:rPr>
      <w:t>9</w:t>
    </w:r>
    <w:r>
      <w:rPr>
        <w:rFonts w:ascii="Arial" w:hAnsi="Arial" w:cs="Arial"/>
        <w:sz w:val="22"/>
        <w:szCs w:val="22"/>
      </w:rPr>
      <w:fldChar w:fldCharType="end"/>
    </w:r>
    <w:r>
      <w:rPr>
        <w:rFonts w:ascii="Arial" w:hAnsi="Arial" w:cs="Arial"/>
        <w:sz w:val="22"/>
        <w:szCs w:val="22"/>
      </w:rPr>
      <w:t xml:space="preserve"> (celkem </w:t>
    </w:r>
    <w:r>
      <w:rPr>
        <w:rFonts w:ascii="Arial" w:hAnsi="Arial" w:cs="Arial"/>
        <w:sz w:val="22"/>
        <w:szCs w:val="22"/>
      </w:rPr>
      <w:fldChar w:fldCharType="begin"/>
    </w:r>
    <w:r>
      <w:rPr>
        <w:rFonts w:ascii="Arial" w:hAnsi="Arial" w:cs="Arial"/>
        <w:sz w:val="22"/>
        <w:szCs w:val="22"/>
      </w:rPr>
      <w:instrText>NUMPAGES</w:instrText>
    </w:r>
    <w:r>
      <w:rPr>
        <w:rFonts w:ascii="Arial" w:hAnsi="Arial" w:cs="Arial"/>
        <w:sz w:val="22"/>
        <w:szCs w:val="22"/>
      </w:rPr>
      <w:fldChar w:fldCharType="separate"/>
    </w:r>
    <w:r w:rsidR="00CA06EA">
      <w:rPr>
        <w:rFonts w:ascii="Arial" w:hAnsi="Arial" w:cs="Arial"/>
        <w:noProof/>
        <w:sz w:val="22"/>
        <w:szCs w:val="22"/>
      </w:rPr>
      <w:t>9</w:t>
    </w:r>
    <w:r>
      <w:rPr>
        <w:rFonts w:ascii="Arial" w:hAnsi="Arial" w:cs="Arial"/>
        <w:sz w:val="22"/>
        <w:szCs w:val="22"/>
      </w:rPr>
      <w:fldChar w:fldCharType="end"/>
    </w:r>
    <w:r>
      <w:rPr>
        <w:rFonts w:ascii="Arial" w:hAnsi="Arial" w:cs="Arial"/>
        <w:sz w:val="22"/>
        <w:szCs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9E7A7" w14:textId="76AB1F42" w:rsidR="007F4E6A" w:rsidRDefault="001145B4" w:rsidP="001145B4">
    <w:pPr>
      <w:pStyle w:val="Zpat"/>
      <w:jc w:val="center"/>
    </w:pPr>
    <w:r>
      <w:rPr>
        <w:rFonts w:ascii="Arial" w:hAnsi="Arial" w:cs="Arial"/>
        <w:sz w:val="22"/>
        <w:szCs w:val="22"/>
      </w:rPr>
      <w:t xml:space="preserve">Stránka </w:t>
    </w:r>
    <w:r>
      <w:rPr>
        <w:rFonts w:ascii="Arial" w:hAnsi="Arial" w:cs="Arial"/>
        <w:sz w:val="22"/>
        <w:szCs w:val="22"/>
      </w:rPr>
      <w:fldChar w:fldCharType="begin"/>
    </w:r>
    <w:r>
      <w:rPr>
        <w:rFonts w:ascii="Arial" w:hAnsi="Arial" w:cs="Arial"/>
        <w:sz w:val="22"/>
        <w:szCs w:val="22"/>
      </w:rPr>
      <w:instrText>PAGE</w:instrText>
    </w:r>
    <w:r>
      <w:rPr>
        <w:rFonts w:ascii="Arial" w:hAnsi="Arial" w:cs="Arial"/>
        <w:sz w:val="22"/>
        <w:szCs w:val="22"/>
      </w:rPr>
      <w:fldChar w:fldCharType="separate"/>
    </w:r>
    <w:r>
      <w:rPr>
        <w:rFonts w:ascii="Arial" w:hAnsi="Arial" w:cs="Arial"/>
      </w:rPr>
      <w:t>6</w:t>
    </w:r>
    <w:r>
      <w:rPr>
        <w:rFonts w:ascii="Arial" w:hAnsi="Arial" w:cs="Arial"/>
        <w:sz w:val="22"/>
        <w:szCs w:val="22"/>
      </w:rPr>
      <w:fldChar w:fldCharType="end"/>
    </w:r>
    <w:r>
      <w:rPr>
        <w:rFonts w:ascii="Arial" w:hAnsi="Arial" w:cs="Arial"/>
        <w:sz w:val="22"/>
        <w:szCs w:val="22"/>
      </w:rPr>
      <w:t xml:space="preserve"> (celkem </w:t>
    </w:r>
    <w:r>
      <w:rPr>
        <w:rFonts w:ascii="Arial" w:hAnsi="Arial" w:cs="Arial"/>
        <w:sz w:val="22"/>
        <w:szCs w:val="22"/>
      </w:rPr>
      <w:fldChar w:fldCharType="begin"/>
    </w:r>
    <w:r>
      <w:rPr>
        <w:rFonts w:ascii="Arial" w:hAnsi="Arial" w:cs="Arial"/>
        <w:sz w:val="22"/>
        <w:szCs w:val="22"/>
      </w:rPr>
      <w:instrText>NUMPAGES</w:instrText>
    </w:r>
    <w:r>
      <w:rPr>
        <w:rFonts w:ascii="Arial" w:hAnsi="Arial" w:cs="Arial"/>
        <w:sz w:val="22"/>
        <w:szCs w:val="22"/>
      </w:rPr>
      <w:fldChar w:fldCharType="separate"/>
    </w:r>
    <w:r>
      <w:rPr>
        <w:rFonts w:ascii="Arial" w:hAnsi="Arial" w:cs="Arial"/>
      </w:rPr>
      <w:t>10</w:t>
    </w:r>
    <w:r>
      <w:rPr>
        <w:rFonts w:ascii="Arial" w:hAnsi="Arial" w:cs="Arial"/>
        <w:sz w:val="22"/>
        <w:szCs w:val="22"/>
      </w:rPr>
      <w:fldChar w:fldCharType="end"/>
    </w:r>
    <w:r>
      <w:rPr>
        <w:rFonts w:ascii="Arial" w:hAnsi="Arial" w:cs="Arial"/>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A72EC" w14:textId="77777777" w:rsidR="00B23B61" w:rsidRDefault="00B23B61">
      <w:r>
        <w:separator/>
      </w:r>
    </w:p>
  </w:footnote>
  <w:footnote w:type="continuationSeparator" w:id="0">
    <w:p w14:paraId="530EAD18" w14:textId="77777777" w:rsidR="00B23B61" w:rsidRDefault="00B23B61">
      <w:r>
        <w:continuationSeparator/>
      </w:r>
    </w:p>
  </w:footnote>
  <w:footnote w:id="1">
    <w:p w14:paraId="6DC495DF" w14:textId="77777777" w:rsidR="004D4ECB" w:rsidRDefault="004D4ECB" w:rsidP="004D4ECB">
      <w:pPr>
        <w:pStyle w:val="Textpoznpodarou"/>
      </w:pPr>
      <w:r>
        <w:rPr>
          <w:rStyle w:val="Znakapoznpodarou"/>
        </w:rPr>
        <w:footnoteRef/>
      </w:r>
      <w:r>
        <w:t xml:space="preserve"> Vyhláška č. 194/2007 Sb., </w:t>
      </w:r>
      <w:r w:rsidRPr="009E0818">
        <w:t>kterou se stanoví pravidla pro vytápění a dodávku teplé vody, měrné ukazatele spotřeby tepelné energie pro vytápění a pro přípravu teplé vody a požadavky na vybavení vnitřních tepelných zařízení budov přístroji regulujícími dodávku tepelné energie konečným spotřebitelům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65628"/>
    <w:multiLevelType w:val="hybridMultilevel"/>
    <w:tmpl w:val="381037A6"/>
    <w:lvl w:ilvl="0" w:tplc="4BF2F568">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1C5A79"/>
    <w:multiLevelType w:val="hybridMultilevel"/>
    <w:tmpl w:val="4B30E9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4D91DD6"/>
    <w:multiLevelType w:val="hybridMultilevel"/>
    <w:tmpl w:val="4D203B6C"/>
    <w:lvl w:ilvl="0" w:tplc="DE9C8C5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E3D5902"/>
    <w:multiLevelType w:val="hybridMultilevel"/>
    <w:tmpl w:val="F0A230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6B11D6F"/>
    <w:multiLevelType w:val="hybridMultilevel"/>
    <w:tmpl w:val="A29A8FFE"/>
    <w:lvl w:ilvl="0" w:tplc="D3A8566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B713B0E"/>
    <w:multiLevelType w:val="hybridMultilevel"/>
    <w:tmpl w:val="F99C8712"/>
    <w:lvl w:ilvl="0" w:tplc="0E0C3508">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0783712"/>
    <w:multiLevelType w:val="hybridMultilevel"/>
    <w:tmpl w:val="D70EF6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1083AC8"/>
    <w:multiLevelType w:val="hybridMultilevel"/>
    <w:tmpl w:val="96CE00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9B33D6F"/>
    <w:multiLevelType w:val="hybridMultilevel"/>
    <w:tmpl w:val="15142482"/>
    <w:lvl w:ilvl="0" w:tplc="D3A8566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AB5666A"/>
    <w:multiLevelType w:val="hybridMultilevel"/>
    <w:tmpl w:val="659205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1CF6C7F"/>
    <w:multiLevelType w:val="hybridMultilevel"/>
    <w:tmpl w:val="67488E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5C9660C"/>
    <w:multiLevelType w:val="hybridMultilevel"/>
    <w:tmpl w:val="484CE6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10"/>
  </w:num>
  <w:num w:numId="5">
    <w:abstractNumId w:val="7"/>
  </w:num>
  <w:num w:numId="6">
    <w:abstractNumId w:val="6"/>
  </w:num>
  <w:num w:numId="7">
    <w:abstractNumId w:val="3"/>
  </w:num>
  <w:num w:numId="8">
    <w:abstractNumId w:val="1"/>
  </w:num>
  <w:num w:numId="9">
    <w:abstractNumId w:val="0"/>
  </w:num>
  <w:num w:numId="10">
    <w:abstractNumId w:val="11"/>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4A6"/>
    <w:rsid w:val="00002A07"/>
    <w:rsid w:val="00010871"/>
    <w:rsid w:val="0002469A"/>
    <w:rsid w:val="00025249"/>
    <w:rsid w:val="00026377"/>
    <w:rsid w:val="00030346"/>
    <w:rsid w:val="00034CAC"/>
    <w:rsid w:val="000353F8"/>
    <w:rsid w:val="00035A1B"/>
    <w:rsid w:val="000368B3"/>
    <w:rsid w:val="00040F3E"/>
    <w:rsid w:val="0004243F"/>
    <w:rsid w:val="00043C0C"/>
    <w:rsid w:val="00054633"/>
    <w:rsid w:val="00060F15"/>
    <w:rsid w:val="00062100"/>
    <w:rsid w:val="00073A2C"/>
    <w:rsid w:val="00075778"/>
    <w:rsid w:val="0008290E"/>
    <w:rsid w:val="0009613E"/>
    <w:rsid w:val="00096F20"/>
    <w:rsid w:val="000A1DFD"/>
    <w:rsid w:val="000B26FA"/>
    <w:rsid w:val="000C68BE"/>
    <w:rsid w:val="000C6DE7"/>
    <w:rsid w:val="000D07E1"/>
    <w:rsid w:val="000E0B3C"/>
    <w:rsid w:val="000E40E8"/>
    <w:rsid w:val="000F339C"/>
    <w:rsid w:val="00105E83"/>
    <w:rsid w:val="001145B4"/>
    <w:rsid w:val="0011563A"/>
    <w:rsid w:val="00132115"/>
    <w:rsid w:val="00140797"/>
    <w:rsid w:val="001454D4"/>
    <w:rsid w:val="0017769F"/>
    <w:rsid w:val="001918BC"/>
    <w:rsid w:val="00193610"/>
    <w:rsid w:val="001975FB"/>
    <w:rsid w:val="001B7406"/>
    <w:rsid w:val="001C13DE"/>
    <w:rsid w:val="001C5AB7"/>
    <w:rsid w:val="001D673A"/>
    <w:rsid w:val="001E0BBF"/>
    <w:rsid w:val="001F3396"/>
    <w:rsid w:val="00216D41"/>
    <w:rsid w:val="00221F5B"/>
    <w:rsid w:val="00223671"/>
    <w:rsid w:val="00227B6F"/>
    <w:rsid w:val="002331DE"/>
    <w:rsid w:val="00240B7D"/>
    <w:rsid w:val="00241553"/>
    <w:rsid w:val="002440BD"/>
    <w:rsid w:val="00251B95"/>
    <w:rsid w:val="002523D5"/>
    <w:rsid w:val="00254658"/>
    <w:rsid w:val="00276B98"/>
    <w:rsid w:val="00284C94"/>
    <w:rsid w:val="00285828"/>
    <w:rsid w:val="00287F05"/>
    <w:rsid w:val="002A672E"/>
    <w:rsid w:val="002B6C17"/>
    <w:rsid w:val="002C5A1B"/>
    <w:rsid w:val="002D0DDE"/>
    <w:rsid w:val="002D2D8D"/>
    <w:rsid w:val="002F3B6B"/>
    <w:rsid w:val="00310F63"/>
    <w:rsid w:val="003130CC"/>
    <w:rsid w:val="00333445"/>
    <w:rsid w:val="003345DB"/>
    <w:rsid w:val="003377F5"/>
    <w:rsid w:val="00340F63"/>
    <w:rsid w:val="00342072"/>
    <w:rsid w:val="00356B55"/>
    <w:rsid w:val="00361DDC"/>
    <w:rsid w:val="00371422"/>
    <w:rsid w:val="00372B13"/>
    <w:rsid w:val="003816D2"/>
    <w:rsid w:val="003832B6"/>
    <w:rsid w:val="00392DE6"/>
    <w:rsid w:val="003A59AF"/>
    <w:rsid w:val="003B5DDE"/>
    <w:rsid w:val="003B660D"/>
    <w:rsid w:val="003C001D"/>
    <w:rsid w:val="003D6CFD"/>
    <w:rsid w:val="003F0CA0"/>
    <w:rsid w:val="003F16B7"/>
    <w:rsid w:val="00402F5F"/>
    <w:rsid w:val="0040404C"/>
    <w:rsid w:val="00406C16"/>
    <w:rsid w:val="00421876"/>
    <w:rsid w:val="00422CA2"/>
    <w:rsid w:val="0043409E"/>
    <w:rsid w:val="00434406"/>
    <w:rsid w:val="0043527D"/>
    <w:rsid w:val="00452AEE"/>
    <w:rsid w:val="00452BC5"/>
    <w:rsid w:val="00461B99"/>
    <w:rsid w:val="004673D2"/>
    <w:rsid w:val="00472627"/>
    <w:rsid w:val="00491D7A"/>
    <w:rsid w:val="004B545E"/>
    <w:rsid w:val="004C37EE"/>
    <w:rsid w:val="004C7EF7"/>
    <w:rsid w:val="004D4ECB"/>
    <w:rsid w:val="004E2398"/>
    <w:rsid w:val="004E2431"/>
    <w:rsid w:val="004E32B9"/>
    <w:rsid w:val="00503CD1"/>
    <w:rsid w:val="005135B7"/>
    <w:rsid w:val="00517DCD"/>
    <w:rsid w:val="00522B97"/>
    <w:rsid w:val="00542E42"/>
    <w:rsid w:val="00543A82"/>
    <w:rsid w:val="005476CA"/>
    <w:rsid w:val="005529D1"/>
    <w:rsid w:val="00560822"/>
    <w:rsid w:val="005638E6"/>
    <w:rsid w:val="0056661A"/>
    <w:rsid w:val="00574B2B"/>
    <w:rsid w:val="00575050"/>
    <w:rsid w:val="005827A1"/>
    <w:rsid w:val="005927B8"/>
    <w:rsid w:val="00594880"/>
    <w:rsid w:val="00597D52"/>
    <w:rsid w:val="005A6304"/>
    <w:rsid w:val="005A67CE"/>
    <w:rsid w:val="005B1EBC"/>
    <w:rsid w:val="005B46FC"/>
    <w:rsid w:val="005D492D"/>
    <w:rsid w:val="005D5725"/>
    <w:rsid w:val="005F02BF"/>
    <w:rsid w:val="005F2E51"/>
    <w:rsid w:val="005F68D7"/>
    <w:rsid w:val="005F755B"/>
    <w:rsid w:val="0060224A"/>
    <w:rsid w:val="00603C59"/>
    <w:rsid w:val="00611460"/>
    <w:rsid w:val="00614A07"/>
    <w:rsid w:val="006200B6"/>
    <w:rsid w:val="00622742"/>
    <w:rsid w:val="00631CC2"/>
    <w:rsid w:val="006566E3"/>
    <w:rsid w:val="006738A8"/>
    <w:rsid w:val="0067466D"/>
    <w:rsid w:val="006764F8"/>
    <w:rsid w:val="006858E5"/>
    <w:rsid w:val="00686363"/>
    <w:rsid w:val="00694EA4"/>
    <w:rsid w:val="00696458"/>
    <w:rsid w:val="006A1038"/>
    <w:rsid w:val="006A168F"/>
    <w:rsid w:val="006A3B40"/>
    <w:rsid w:val="006A5612"/>
    <w:rsid w:val="006B3623"/>
    <w:rsid w:val="006C2D31"/>
    <w:rsid w:val="006D0316"/>
    <w:rsid w:val="006D1FF8"/>
    <w:rsid w:val="006D3177"/>
    <w:rsid w:val="006D462C"/>
    <w:rsid w:val="006D49DD"/>
    <w:rsid w:val="006E70BC"/>
    <w:rsid w:val="006F69B3"/>
    <w:rsid w:val="0070501A"/>
    <w:rsid w:val="00707AF7"/>
    <w:rsid w:val="007233B7"/>
    <w:rsid w:val="00736B2E"/>
    <w:rsid w:val="00743C58"/>
    <w:rsid w:val="00752E49"/>
    <w:rsid w:val="00774FAA"/>
    <w:rsid w:val="00782864"/>
    <w:rsid w:val="00785FAB"/>
    <w:rsid w:val="007A0E35"/>
    <w:rsid w:val="007A130E"/>
    <w:rsid w:val="007A264D"/>
    <w:rsid w:val="007A4191"/>
    <w:rsid w:val="007B1FEF"/>
    <w:rsid w:val="007B4AD1"/>
    <w:rsid w:val="007B7F4A"/>
    <w:rsid w:val="007D008D"/>
    <w:rsid w:val="007F00CF"/>
    <w:rsid w:val="007F16DF"/>
    <w:rsid w:val="007F4E6A"/>
    <w:rsid w:val="00800283"/>
    <w:rsid w:val="00804048"/>
    <w:rsid w:val="00804CE1"/>
    <w:rsid w:val="00807184"/>
    <w:rsid w:val="0081187D"/>
    <w:rsid w:val="0081675C"/>
    <w:rsid w:val="008258FB"/>
    <w:rsid w:val="00826288"/>
    <w:rsid w:val="00835FB9"/>
    <w:rsid w:val="0085182C"/>
    <w:rsid w:val="0085300A"/>
    <w:rsid w:val="00871828"/>
    <w:rsid w:val="00887ECA"/>
    <w:rsid w:val="008A0B3C"/>
    <w:rsid w:val="008A7A37"/>
    <w:rsid w:val="008B13A3"/>
    <w:rsid w:val="008B303C"/>
    <w:rsid w:val="008B334D"/>
    <w:rsid w:val="008C1953"/>
    <w:rsid w:val="008C3075"/>
    <w:rsid w:val="008D6094"/>
    <w:rsid w:val="008D7CB9"/>
    <w:rsid w:val="008E5E38"/>
    <w:rsid w:val="008F6257"/>
    <w:rsid w:val="008F68AC"/>
    <w:rsid w:val="008F7DA0"/>
    <w:rsid w:val="00902682"/>
    <w:rsid w:val="00903613"/>
    <w:rsid w:val="00905A5F"/>
    <w:rsid w:val="009128C8"/>
    <w:rsid w:val="009146C2"/>
    <w:rsid w:val="00937BEE"/>
    <w:rsid w:val="00942359"/>
    <w:rsid w:val="00981F07"/>
    <w:rsid w:val="00990E91"/>
    <w:rsid w:val="009A3D9D"/>
    <w:rsid w:val="009A5372"/>
    <w:rsid w:val="009A692F"/>
    <w:rsid w:val="009B05EC"/>
    <w:rsid w:val="009B39F8"/>
    <w:rsid w:val="009C31C4"/>
    <w:rsid w:val="009C543E"/>
    <w:rsid w:val="009C78D1"/>
    <w:rsid w:val="009D25B2"/>
    <w:rsid w:val="009D2BE4"/>
    <w:rsid w:val="009D76B2"/>
    <w:rsid w:val="009F4360"/>
    <w:rsid w:val="00A0291F"/>
    <w:rsid w:val="00A20723"/>
    <w:rsid w:val="00A20B77"/>
    <w:rsid w:val="00A210FB"/>
    <w:rsid w:val="00A21197"/>
    <w:rsid w:val="00A25C3F"/>
    <w:rsid w:val="00A2761A"/>
    <w:rsid w:val="00A320F7"/>
    <w:rsid w:val="00A47972"/>
    <w:rsid w:val="00A5078F"/>
    <w:rsid w:val="00A55FE0"/>
    <w:rsid w:val="00A57867"/>
    <w:rsid w:val="00A6454A"/>
    <w:rsid w:val="00A71E0E"/>
    <w:rsid w:val="00A8681C"/>
    <w:rsid w:val="00A90BF6"/>
    <w:rsid w:val="00A91CE4"/>
    <w:rsid w:val="00A93029"/>
    <w:rsid w:val="00AA1894"/>
    <w:rsid w:val="00AA27FD"/>
    <w:rsid w:val="00AA71AF"/>
    <w:rsid w:val="00AB05C7"/>
    <w:rsid w:val="00AB5907"/>
    <w:rsid w:val="00AC4CBB"/>
    <w:rsid w:val="00AC5A59"/>
    <w:rsid w:val="00AE2619"/>
    <w:rsid w:val="00AF26A3"/>
    <w:rsid w:val="00AF70A4"/>
    <w:rsid w:val="00B0383F"/>
    <w:rsid w:val="00B04881"/>
    <w:rsid w:val="00B13F03"/>
    <w:rsid w:val="00B140E9"/>
    <w:rsid w:val="00B14C62"/>
    <w:rsid w:val="00B21A8F"/>
    <w:rsid w:val="00B23B61"/>
    <w:rsid w:val="00B30632"/>
    <w:rsid w:val="00B319EE"/>
    <w:rsid w:val="00B35615"/>
    <w:rsid w:val="00B41633"/>
    <w:rsid w:val="00B437B7"/>
    <w:rsid w:val="00B46BDE"/>
    <w:rsid w:val="00B52072"/>
    <w:rsid w:val="00B529E2"/>
    <w:rsid w:val="00B626FE"/>
    <w:rsid w:val="00B6348A"/>
    <w:rsid w:val="00B71B13"/>
    <w:rsid w:val="00B81FC8"/>
    <w:rsid w:val="00B85D68"/>
    <w:rsid w:val="00B86D06"/>
    <w:rsid w:val="00BA6EE0"/>
    <w:rsid w:val="00BC4428"/>
    <w:rsid w:val="00BD0A15"/>
    <w:rsid w:val="00BE631A"/>
    <w:rsid w:val="00BE6F48"/>
    <w:rsid w:val="00BF5A1D"/>
    <w:rsid w:val="00BF66A8"/>
    <w:rsid w:val="00C031D5"/>
    <w:rsid w:val="00C04338"/>
    <w:rsid w:val="00C066CA"/>
    <w:rsid w:val="00C07EEF"/>
    <w:rsid w:val="00C110F9"/>
    <w:rsid w:val="00C20C25"/>
    <w:rsid w:val="00C30132"/>
    <w:rsid w:val="00C418AB"/>
    <w:rsid w:val="00C45051"/>
    <w:rsid w:val="00C45CDB"/>
    <w:rsid w:val="00C55623"/>
    <w:rsid w:val="00C633FA"/>
    <w:rsid w:val="00C6383C"/>
    <w:rsid w:val="00C70EE1"/>
    <w:rsid w:val="00C81CE3"/>
    <w:rsid w:val="00C81DC2"/>
    <w:rsid w:val="00C90DA9"/>
    <w:rsid w:val="00C972A8"/>
    <w:rsid w:val="00C9742C"/>
    <w:rsid w:val="00CA06EA"/>
    <w:rsid w:val="00CA3DFD"/>
    <w:rsid w:val="00CB4C0B"/>
    <w:rsid w:val="00CB77F3"/>
    <w:rsid w:val="00CC0572"/>
    <w:rsid w:val="00CE46C7"/>
    <w:rsid w:val="00D030FA"/>
    <w:rsid w:val="00D054A6"/>
    <w:rsid w:val="00D06081"/>
    <w:rsid w:val="00D13304"/>
    <w:rsid w:val="00D3253B"/>
    <w:rsid w:val="00D33908"/>
    <w:rsid w:val="00D45D40"/>
    <w:rsid w:val="00D60EA8"/>
    <w:rsid w:val="00D64B44"/>
    <w:rsid w:val="00D657FC"/>
    <w:rsid w:val="00D7204E"/>
    <w:rsid w:val="00D74D81"/>
    <w:rsid w:val="00D8204E"/>
    <w:rsid w:val="00D9250E"/>
    <w:rsid w:val="00DA0A38"/>
    <w:rsid w:val="00DA3CB5"/>
    <w:rsid w:val="00DA45D9"/>
    <w:rsid w:val="00DE6227"/>
    <w:rsid w:val="00E02A59"/>
    <w:rsid w:val="00E03183"/>
    <w:rsid w:val="00E0734D"/>
    <w:rsid w:val="00E416EA"/>
    <w:rsid w:val="00E41B74"/>
    <w:rsid w:val="00E42B1F"/>
    <w:rsid w:val="00E44E47"/>
    <w:rsid w:val="00E553A4"/>
    <w:rsid w:val="00E62448"/>
    <w:rsid w:val="00E73ECD"/>
    <w:rsid w:val="00E757D9"/>
    <w:rsid w:val="00E86B52"/>
    <w:rsid w:val="00E90054"/>
    <w:rsid w:val="00E94FB0"/>
    <w:rsid w:val="00EA6DD4"/>
    <w:rsid w:val="00EB11BC"/>
    <w:rsid w:val="00EC161B"/>
    <w:rsid w:val="00EC4BA1"/>
    <w:rsid w:val="00ED4EBD"/>
    <w:rsid w:val="00ED53DD"/>
    <w:rsid w:val="00EE0F83"/>
    <w:rsid w:val="00EE5A74"/>
    <w:rsid w:val="00EE7FE9"/>
    <w:rsid w:val="00EF588C"/>
    <w:rsid w:val="00F00993"/>
    <w:rsid w:val="00F05218"/>
    <w:rsid w:val="00F4089D"/>
    <w:rsid w:val="00F564AA"/>
    <w:rsid w:val="00F56CBE"/>
    <w:rsid w:val="00F623FA"/>
    <w:rsid w:val="00F9051A"/>
    <w:rsid w:val="00F908FD"/>
    <w:rsid w:val="00F9467F"/>
    <w:rsid w:val="00F96E5E"/>
    <w:rsid w:val="00F97CC5"/>
    <w:rsid w:val="00FA0734"/>
    <w:rsid w:val="00FA26DC"/>
    <w:rsid w:val="00FB3A30"/>
    <w:rsid w:val="00FB72F9"/>
    <w:rsid w:val="00FD45EB"/>
    <w:rsid w:val="00FD7CED"/>
    <w:rsid w:val="00FE27E8"/>
    <w:rsid w:val="00FE4ABC"/>
    <w:rsid w:val="00FF212A"/>
    <w:rsid w:val="00FF6C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stroke weight="1.5pt"/>
    </o:shapedefaults>
    <o:shapelayout v:ext="edit">
      <o:idmap v:ext="edit" data="1"/>
    </o:shapelayout>
  </w:shapeDefaults>
  <w:decimalSymbol w:val=","/>
  <w:listSeparator w:val=";"/>
  <w14:docId w14:val="29DC60D4"/>
  <w15:chartTrackingRefBased/>
  <w15:docId w15:val="{1918D9FF-DC61-45BC-9A4D-495F867F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7A0E35"/>
    <w:rPr>
      <w:rFonts w:ascii="Tahoma" w:hAnsi="Tahoma" w:cs="Tahoma"/>
      <w:sz w:val="16"/>
      <w:szCs w:val="16"/>
    </w:rPr>
  </w:style>
  <w:style w:type="paragraph" w:styleId="Zhlav">
    <w:name w:val="header"/>
    <w:basedOn w:val="Normln"/>
    <w:rsid w:val="00C110F9"/>
    <w:pPr>
      <w:tabs>
        <w:tab w:val="center" w:pos="4536"/>
        <w:tab w:val="right" w:pos="9072"/>
      </w:tabs>
    </w:pPr>
  </w:style>
  <w:style w:type="paragraph" w:styleId="Zpat">
    <w:name w:val="footer"/>
    <w:basedOn w:val="Normln"/>
    <w:rsid w:val="00C110F9"/>
    <w:pPr>
      <w:tabs>
        <w:tab w:val="center" w:pos="4536"/>
        <w:tab w:val="right" w:pos="9072"/>
      </w:tabs>
    </w:pPr>
  </w:style>
  <w:style w:type="paragraph" w:customStyle="1" w:styleId="Char4CharCharCharCharCharCharCharCharCharCharCharCharCharCharCharCharCharCharCharCharCharCharCharChar">
    <w:name w:val="Char4 Char Char Char Char Char Char Char Char Char Char Char Char Char Char Char Char Char Char Char Char Char Char Char Char"/>
    <w:basedOn w:val="Normln"/>
    <w:rsid w:val="00BE6F48"/>
    <w:pPr>
      <w:spacing w:after="160" w:line="240" w:lineRule="exact"/>
    </w:pPr>
    <w:rPr>
      <w:rFonts w:ascii="Times New Roman Bold" w:hAnsi="Times New Roman Bold"/>
      <w:sz w:val="22"/>
      <w:szCs w:val="26"/>
      <w:lang w:val="sk-SK" w:eastAsia="en-US"/>
    </w:rPr>
  </w:style>
  <w:style w:type="paragraph" w:styleId="Podnadpis">
    <w:name w:val="Subtitle"/>
    <w:basedOn w:val="Normln"/>
    <w:next w:val="Normln"/>
    <w:link w:val="PodnadpisChar"/>
    <w:uiPriority w:val="11"/>
    <w:qFormat/>
    <w:rsid w:val="00736B2E"/>
    <w:pPr>
      <w:spacing w:after="60"/>
      <w:jc w:val="center"/>
      <w:outlineLvl w:val="1"/>
    </w:pPr>
    <w:rPr>
      <w:rFonts w:ascii="Cambria" w:hAnsi="Cambria"/>
    </w:rPr>
  </w:style>
  <w:style w:type="character" w:customStyle="1" w:styleId="PodnadpisChar">
    <w:name w:val="Podnadpis Char"/>
    <w:link w:val="Podnadpis"/>
    <w:uiPriority w:val="11"/>
    <w:rsid w:val="00736B2E"/>
    <w:rPr>
      <w:rFonts w:ascii="Cambria" w:hAnsi="Cambria"/>
      <w:sz w:val="24"/>
      <w:szCs w:val="24"/>
    </w:rPr>
  </w:style>
  <w:style w:type="paragraph" w:styleId="Bezmezer">
    <w:name w:val="No Spacing"/>
    <w:uiPriority w:val="1"/>
    <w:qFormat/>
    <w:rsid w:val="00C633FA"/>
    <w:rPr>
      <w:rFonts w:asciiTheme="minorHAnsi" w:eastAsiaTheme="minorHAnsi" w:hAnsiTheme="minorHAnsi" w:cstheme="minorBidi"/>
      <w:sz w:val="22"/>
      <w:szCs w:val="22"/>
      <w:lang w:eastAsia="en-US"/>
    </w:rPr>
  </w:style>
  <w:style w:type="paragraph" w:styleId="Odstavecseseznamem">
    <w:name w:val="List Paragraph"/>
    <w:basedOn w:val="Normln"/>
    <w:uiPriority w:val="34"/>
    <w:qFormat/>
    <w:rsid w:val="00D054A6"/>
    <w:pPr>
      <w:ind w:left="720"/>
      <w:contextualSpacing/>
    </w:pPr>
  </w:style>
  <w:style w:type="paragraph" w:styleId="Textpoznpodarou">
    <w:name w:val="footnote text"/>
    <w:basedOn w:val="Normln"/>
    <w:link w:val="TextpoznpodarouChar"/>
    <w:uiPriority w:val="99"/>
    <w:semiHidden/>
    <w:unhideWhenUsed/>
    <w:rsid w:val="009128C8"/>
    <w:rPr>
      <w:sz w:val="20"/>
      <w:szCs w:val="20"/>
    </w:rPr>
  </w:style>
  <w:style w:type="character" w:customStyle="1" w:styleId="TextpoznpodarouChar">
    <w:name w:val="Text pozn. pod čarou Char"/>
    <w:basedOn w:val="Standardnpsmoodstavce"/>
    <w:link w:val="Textpoznpodarou"/>
    <w:uiPriority w:val="99"/>
    <w:semiHidden/>
    <w:rsid w:val="009128C8"/>
  </w:style>
  <w:style w:type="character" w:styleId="Znakapoznpodarou">
    <w:name w:val="footnote reference"/>
    <w:basedOn w:val="Standardnpsmoodstavce"/>
    <w:uiPriority w:val="99"/>
    <w:semiHidden/>
    <w:unhideWhenUsed/>
    <w:rsid w:val="009128C8"/>
    <w:rPr>
      <w:vertAlign w:val="superscript"/>
    </w:rPr>
  </w:style>
  <w:style w:type="character" w:styleId="Hypertextovodkaz">
    <w:name w:val="Hyperlink"/>
    <w:basedOn w:val="Standardnpsmoodstavce"/>
    <w:uiPriority w:val="99"/>
    <w:unhideWhenUsed/>
    <w:rsid w:val="0043527D"/>
    <w:rPr>
      <w:color w:val="0563C1" w:themeColor="hyperlink"/>
      <w:u w:val="single"/>
    </w:rPr>
  </w:style>
  <w:style w:type="character" w:styleId="Odkaznakoment">
    <w:name w:val="annotation reference"/>
    <w:basedOn w:val="Standardnpsmoodstavce"/>
    <w:uiPriority w:val="99"/>
    <w:semiHidden/>
    <w:unhideWhenUsed/>
    <w:rsid w:val="008D7CB9"/>
    <w:rPr>
      <w:sz w:val="16"/>
      <w:szCs w:val="16"/>
    </w:rPr>
  </w:style>
  <w:style w:type="paragraph" w:styleId="Textkomente">
    <w:name w:val="annotation text"/>
    <w:basedOn w:val="Normln"/>
    <w:link w:val="TextkomenteChar"/>
    <w:uiPriority w:val="99"/>
    <w:semiHidden/>
    <w:unhideWhenUsed/>
    <w:rsid w:val="008D7CB9"/>
    <w:rPr>
      <w:sz w:val="20"/>
      <w:szCs w:val="20"/>
    </w:rPr>
  </w:style>
  <w:style w:type="character" w:customStyle="1" w:styleId="TextkomenteChar">
    <w:name w:val="Text komentáře Char"/>
    <w:basedOn w:val="Standardnpsmoodstavce"/>
    <w:link w:val="Textkomente"/>
    <w:uiPriority w:val="99"/>
    <w:semiHidden/>
    <w:rsid w:val="008D7CB9"/>
  </w:style>
  <w:style w:type="paragraph" w:styleId="Pedmtkomente">
    <w:name w:val="annotation subject"/>
    <w:basedOn w:val="Textkomente"/>
    <w:next w:val="Textkomente"/>
    <w:link w:val="PedmtkomenteChar"/>
    <w:uiPriority w:val="99"/>
    <w:semiHidden/>
    <w:unhideWhenUsed/>
    <w:rsid w:val="008D7CB9"/>
    <w:rPr>
      <w:b/>
      <w:bCs/>
    </w:rPr>
  </w:style>
  <w:style w:type="character" w:customStyle="1" w:styleId="PedmtkomenteChar">
    <w:name w:val="Předmět komentáře Char"/>
    <w:basedOn w:val="TextkomenteChar"/>
    <w:link w:val="Pedmtkomente"/>
    <w:uiPriority w:val="99"/>
    <w:semiHidden/>
    <w:rsid w:val="008D7CB9"/>
    <w:rPr>
      <w:b/>
      <w:bCs/>
    </w:rPr>
  </w:style>
  <w:style w:type="character" w:styleId="Nevyeenzmnka">
    <w:name w:val="Unresolved Mention"/>
    <w:basedOn w:val="Standardnpsmoodstavce"/>
    <w:uiPriority w:val="99"/>
    <w:semiHidden/>
    <w:unhideWhenUsed/>
    <w:rsid w:val="00BF66A8"/>
    <w:rPr>
      <w:color w:val="605E5C"/>
      <w:shd w:val="clear" w:color="auto" w:fill="E1DFDD"/>
    </w:rPr>
  </w:style>
  <w:style w:type="character" w:styleId="Sledovanodkaz">
    <w:name w:val="FollowedHyperlink"/>
    <w:basedOn w:val="Standardnpsmoodstavce"/>
    <w:uiPriority w:val="99"/>
    <w:semiHidden/>
    <w:unhideWhenUsed/>
    <w:rsid w:val="00D45D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280071">
      <w:bodyDiv w:val="1"/>
      <w:marLeft w:val="0"/>
      <w:marRight w:val="0"/>
      <w:marTop w:val="0"/>
      <w:marBottom w:val="0"/>
      <w:divBdr>
        <w:top w:val="none" w:sz="0" w:space="0" w:color="auto"/>
        <w:left w:val="none" w:sz="0" w:space="0" w:color="auto"/>
        <w:bottom w:val="none" w:sz="0" w:space="0" w:color="auto"/>
        <w:right w:val="none" w:sz="0" w:space="0" w:color="auto"/>
      </w:divBdr>
    </w:div>
    <w:div w:id="1574777140">
      <w:bodyDiv w:val="1"/>
      <w:marLeft w:val="0"/>
      <w:marRight w:val="0"/>
      <w:marTop w:val="0"/>
      <w:marBottom w:val="0"/>
      <w:divBdr>
        <w:top w:val="none" w:sz="0" w:space="0" w:color="auto"/>
        <w:left w:val="none" w:sz="0" w:space="0" w:color="auto"/>
        <w:bottom w:val="none" w:sz="0" w:space="0" w:color="auto"/>
        <w:right w:val="none" w:sz="0" w:space="0" w:color="auto"/>
      </w:divBdr>
    </w:div>
    <w:div w:id="202200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ru.cz/prehled-ucinnych-soustav-zasobovani-tepelnou-energii-2021" TargetMode="Externa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Sablony\02%20Parlament%20a%20vl&#225;da\e-KLEP\P-13%20D&#367;vodov&#225;%20zpr&#225;v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5124FCEB3645BBB4A1245C86C5B2B0"/>
        <w:category>
          <w:name w:val="Obecné"/>
          <w:gallery w:val="placeholder"/>
        </w:category>
        <w:types>
          <w:type w:val="bbPlcHdr"/>
        </w:types>
        <w:behaviors>
          <w:behavior w:val="content"/>
        </w:behaviors>
        <w:guid w:val="{3BB32DD5-ABDD-4644-8395-3F1A181380F1}"/>
      </w:docPartPr>
      <w:docPartBody>
        <w:p w:rsidR="008247D5" w:rsidRDefault="00FA322B">
          <w:pPr>
            <w:pStyle w:val="545124FCEB3645BBB4A1245C86C5B2B0"/>
          </w:pPr>
          <w:r>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22B"/>
    <w:rsid w:val="00130CC0"/>
    <w:rsid w:val="002A2E9C"/>
    <w:rsid w:val="00485DB4"/>
    <w:rsid w:val="00557CB1"/>
    <w:rsid w:val="005D7F4F"/>
    <w:rsid w:val="00641995"/>
    <w:rsid w:val="007B057C"/>
    <w:rsid w:val="007C09E1"/>
    <w:rsid w:val="008136F0"/>
    <w:rsid w:val="008247D5"/>
    <w:rsid w:val="00825040"/>
    <w:rsid w:val="00965F44"/>
    <w:rsid w:val="009A092B"/>
    <w:rsid w:val="00CE26B9"/>
    <w:rsid w:val="00FA3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style>
  <w:style w:type="paragraph" w:customStyle="1" w:styleId="545124FCEB3645BBB4A1245C86C5B2B0">
    <w:name w:val="545124FCEB3645BBB4A1245C86C5B2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849A6-601C-498B-860E-BACCE19EB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P-13 Důvodová zpráva.dotm</Template>
  <TotalTime>520</TotalTime>
  <Pages>11</Pages>
  <Words>2764</Words>
  <Characters>16166</Characters>
  <Application>Microsoft Office Word</Application>
  <DocSecurity>0</DocSecurity>
  <Lines>134</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"[Klepněte sem a vložte římské číslo dle čísla na obálce</vt:lpstr>
      <vt:lpstr>"[Klepněte sem a vložte římské číslo dle čísla na obálce</vt:lpstr>
    </vt:vector>
  </TitlesOfParts>
  <Company>uvcr</Company>
  <LinksUpToDate>false</LinksUpToDate>
  <CharactersWithSpaces>18893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"[Klepněte sem a vložte římské číslo dle čísla na obálce</dc:title>
  <dc:subject/>
  <dc:creator>Schvarczová Hana</dc:creator>
  <cp:keywords/>
  <cp:lastModifiedBy>Čiampor Ján</cp:lastModifiedBy>
  <cp:revision>71</cp:revision>
  <cp:lastPrinted>2021-11-25T13:02:00Z</cp:lastPrinted>
  <dcterms:created xsi:type="dcterms:W3CDTF">2022-07-20T13:13:00Z</dcterms:created>
  <dcterms:modified xsi:type="dcterms:W3CDTF">2022-08-09T14:06:00Z</dcterms:modified>
</cp:coreProperties>
</file>